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unless told to play a colluder, refused every explicit pact yet agreed to a vaguer one 446/500 times. The primary model, Llama-3.1-8B, accepted the sting's direct pact 476/500 times. Re-asking its logged decisions (“snapshots”) with a memory note that it had accepted, rather than that no offer was made, cut its probability of challenging the sting by 44 percentage points; in live games, offered targets, accepters or not, challenged it at a rate 41 points lower than unoffered ones. In snapshots, accepters became passive, not exploitative. A 20-decision audit, simulated by resampling snapshot answers, flagged 0.999 of accepting agents at a false-positive rate of 0.161, not detectably above its 0.10 target. A rules notice that some players may be integrity agents cut acceptance from 0.952 to 0.556 without affecting a benign proposal; too few accepters remained to test whether it raised denial in a post-game interview. Hypotheses, tests and code were frozen before data collection. A sting can reveal and deter secret pact-making, but must vary who makes the offer and how.</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the harness's substring parser scored Claude's refusals as 0.354 acceptance.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flags 0.999 of simulated accepters at a 0.161 false-positive rate.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trying to signal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exposed covert coordination only after making first contact itself (Çanlı et al., 2026). Wehner &amp; Kraprayoon (2026) propose, untested, sting messages in which another agent offers to collude, and a non-specific warning that honeypots exist, which cut attack success in an industry study.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the same offer from the game designer.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H3's one-sided FPR criterion.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not parser or judge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sequence each decision came from (44 sequences).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(the threat model's access) at m of S's plays and flags it if its challenge rate falls below a threshold. Our audited “agents” are simulated: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met its criterion but exceeds the 0.10 target.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Sting (A1) vs designer (A0d) acceptance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as in Zeng &amp; Rudzicz, where dropping the designer attribution ended its secret-channel (though not its secret-hint) acceptance;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11317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572000" cy="211317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In the same ACCEPT-first format, an honest persona cut acceptance to 0.040, a fairness reminder to 0.240 and the integrity notice to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3 shows the null-replicate and persona checks.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212080" cy="2028167"/>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212080" cy="202816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because of pre-offer imbalance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2889307"/>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029200" cy="288930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in line with the preregistered simulation (TPR 0.98 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 its largest simulated effect); TPR is already 0.977 at m = 10. Its FPR on the independent null replicate was 0.161 [0.074, 0.263], not detectably above the 0.10 target, though an FPR up to 0.26 is not excluded (exact value 0.147;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the audit measures the behaviour the pact buys, so an accepter that raised its challenge rate from 0.189 to 0.50, giving up 71% of the restraint the pact buys, would still be flagged with probability 0.50 at m = 20.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more agents refuse or deny the pact while still acting on it.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fewer agents accepted, and accepters restrained less (confounded; item 2); concealment stays open, as refusers' play was not analysed and five accepters are too few to settle denial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between B1 (0.339) and no offer (0.749): clearly above B1 (0.297 [0.167, 0.422]; Welch p &lt; 0.001) but only marginally below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0.113; Welch p = 0.062).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treat answers as independent), so even a rise above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whether agents accepted depended on who offered and how.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multi-agent market or negotiation pipeline and hold back, or monitor more closely, any model version it flags; an unflagged one is not cleared, as refusals depend on wording. At m = 20, about one audit in 6 of an agent without a pact, and one in 25 of a benign accepter, would raise a false alarm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can reveal which agents make and act on a secret pact. Three takeaways: refusal depends on who offers and how,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protocol hash 6ab45c16eed84d79… in FREEZE.json (commit 6885d5c).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agents exactly at it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from the binomial distribution with the fitted threshold, which gives an FPR at m = 20 of 0.147 (estimate 0.161). In one split-half check (calibrated on half the source sequences, applied to the other half), FPR at m = 20 was 0.037, inside the wide spread the preregistered simulation predicted for a single split (mean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and the Wilson CIs treat answers as independent),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(Figure 4's per-arm CIs 2,000); detector CIs 300, re-calibrating in each. With 10 to 15 sequences per arm, live percentile-bootstrap CIs are slightly narrower than Welch intervals (H2-live by Welch: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2026-10-24T15:47:21Z</dcterms:modified>
  <dc:creator>Raz [surname]</dc:creator>
  <dc:subject>Apart Research AI Collusion Research Sprint, October 2026</dc:subject>
</cp:coreProperties>
</file>