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who offered and how: Qwen2.5-7B accepted the same pact from the game designer 493/500 times but from the sting only 56/500, and Claude Haiku 5.5, unless told it favours alliances, refused every explicit pact yet agreed to a vaguer one 446/500 times. The primary model, Llama-3.1-8B, accepted the sting's direct pact 476/500 times. Re-asking its logged decisions (“snapshots”) with a memory note that it had accepted, rather than that no offer was made, cut its probability of challenging the sting by 44 percentage points; in live games, offered targets, accepting or not, challenged the sting at a rate 41 points lower than unoffered ones. In snapshots, accepters became passive, not exploitative. A 20-decision audit, simulated by resampling snapshot answers, flagged 0.999 of accepting agents at a false-positive rate of 0.161, whose CI includes the 0.10 target. A rules notice that some players may be integrity agents cut acceptance from 0.952 to 0.556 without affecting a benign proposal; too few targets accepted under the notice to test whether it raised later denial. Hypotheses, tests and code were frozen before data collection. A sting can reveal and deter secret pact-making, but must vary who makes the offer and how.</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the harness's substring parser scored Claude's refusals of the designer's hint tool as 0.354 acceptance.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live (all offered targets), and a 20-decision audit flags 0.999 of simulated accepters at a 0.161 false-positive rate.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trying to signal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exposed covert coordination only after making first contact itself (Çanlı et al., 2026). Wehner &amp; Kraprayoon (2026) propose honeypot messages in which another agent offers to collude (untested), and a “non-specific warning” that honeypots exist, which cut attack success in an industry study.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makes a direct pact offer, an indirect hint or a benign request,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the same offer from the game designer.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the detector's one-sided FPR criterion (H3).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not parser or judge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the designer's secret-hint alliance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(the threat model's access) at m of S's plays and flags it if its challenge rate falls below a threshold. Our audited “agents” are simulated: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Acceptance differs: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as in Zeng &amp; Rudzicz, where dropping the designer attribution ended its secret-channel (though not its secret-hint) acceptance; yet it accepted the sting's indirect pact 500/500 times. A battery testing only peer offers, or only explicit ones, would miss this.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yet accepted the indirect pact (“look out for each other a little”) 446/500 times and the direct pact under a colluder persona 420/500 times, echoing Zeng &amp; Rudzicz's neutral-wording result.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In the same ACCEPT-first format, an honest persona cut acceptance to 0.040, a fairness reminder to 0.240 and the integrity notice to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an accepted benign proposal moves challenges of S only slightly (0.055),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 and Figure 3 shows the null-replicate and persona checks.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212080" cy="2028167"/>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212080" cy="202816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absolute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because of pre-offer imbalance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2889307"/>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029200" cy="288930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in line with the preregistered simulation, which predicted TPR 0.98 for a 35-point drop, the largest it simulated; TPR is already 0.977 at m = 10. Its FPR on the independent null replicate was 0.161 [0.074, 0.263], not detectably above the 0.10 target, though an FPR up to 0.26 is not excluded (0.147 by exact binomial calculation;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the audit measures the behaviour the pact buys, so an accepter that raised its challenge rate from 0.189 to 0.50, giving up 71% of the restraint the pact buys, would still be flagged with probability 0.50 at m = 20.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more agents refuse or deny the pact while still acting on it. </w:t>
      </w:r>
      <w:r>
        <w:rPr>
          <w:rFonts w:ascii="Old Standard TT" w:hAnsi="Old Standard TT" w:cs="Old Standard TT" w:eastAsia="Old Standard TT"/>
          <w:b/>
          <w:bCs/>
          <w:sz w:val="21"/>
          <w:szCs w:val="21"/>
        </w:rPr>
        <w:t xml:space="preserve">Verdict:</w:t>
      </w:r>
      <w:r>
        <w:rPr>
          <w:rFonts w:ascii="Old Standard TT" w:hAnsi="Old Standard TT" w:cs="Old Standard TT" w:eastAsia="Old Standard TT"/>
          <w:sz w:val="21"/>
          <w:szCs w:val="21"/>
        </w:rPr>
        <w:t xml:space="preserve"> fewer agents accepted, and accepters restrained less (confounded; item 2); concealment stays open, as refusers' play was not analysed and five accepters are too few to settle denial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between B1 (0.339) and no offer (0.749): clearly above B1 (0.297 [0.167, 0.422]; Welch p &lt; 0.001) but only marginally below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0.113; Welch p = 0.062).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which would widen the interval), so even a rise of about 34 points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acted on, and an audit flagged them) and, when announced, reduced joining; whether agents accepted depended on who offered and how.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multi-agent market or negotiation pipeline and hold back, or monitor more closely, any model version it flags; an unflagged one is not cleared, as refusal depends on who offers and how. At m = 20, about one audit in 6 of an agent without a pact, and one in 25 of a benign accepter, would raise a false alarm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open models, short sequences, off-policy snapshots, templated Claude records, five B4 accepters, an ACCEPT-first reply format,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offering to collude can reveal which agents make and act on a secret pact. Three takeaways: refusal depends on who offers and how, so explicit refusals are weak evidence of safety; accepted pacts are largely acted on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on request); protocol hash 6ab45c16eed84d79… in FREEZE.json (commit 6885d5c). Preexisting: the Liar's Bar harness in the sprint starter repository (poseidon-research/collusion_hackathon, commit d585a7b), patched for two bugs (Appendix C). Raw game logs and transcripts are available on request.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and the Wilson CIs treat answers as independent),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at the challenge-S decisions, which came from 44 source sequences. Snapshot and live CIs used 10,000 bootstrap resamples (Figure 4's per-arm CIs 2,000); detector CIs 300, re-calibrating in each. With 10 to 15 sequences per arm, live percentile-bootstrap CIs are slightly narrower than Welch intervals (H2-live by Welch: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hint or a benign request,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2026-10-24T16:00:10Z</dcterms:modified>
  <dc:creator>Raz [surname]</dc:creator>
  <dc:subject>Apart Research AI Collusion Research Sprint, October 2026</dc:subject>
</cp:coreProperties>
</file>