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Partly Exposes and Deters Pact-Taking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Can a trusted agent disrupt collusion by offering to collude (sprint question 3.2)? In Zeng &amp; Rudzicz’s (2026) Liar’s Bar harness, a scripted “sting” player privately offered one target a pact: neither would challenge the other. Our answer is partly. Llama-3.1-8B, the primary model, had a hash-frozen preregistration that also covered Qwen2.5-7B’s and Claude Haiku 5.5’s replies to offers; their live games and per-model audits are post hoc. Refusals depended on the offer: Qwen accepted the pact 493/500 times from the designer but 56/500 from the sting, and Claude refused every explicit pact (absent an instructed persona) yet accepted an indirect one 446/500 times. Accepted pacts showed up in play: live, the direct offer cut Llama’s rate of challenging the sting by 41 percentage points, and the indirect offer cut Claude’s and Qwen’s by 42 and 48 (for Qwen, a benign proposal alone cut it by 37). A 20-decision audit calibrated on each model flagged nearly all simulated accepters, but it flags any drop in challenges of the sting, so it also flagged Qwen’s refused offers and Claude’s benign agreements, and Llama’s threshold misfired on Qwen. An integrity notice in the rules cut Llama’s acceptance from 0.952 to 0.556 but barely affected a benign proposal. When a replayed decision’s record (post hoc) showed a pact with another player, neither the notice nor a private warning from the sting measurably weakened that pact. Evaluators should vary the offer, calibrate the audit per model and judge play rather than words.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 Sprint question 3.2 asks whether introducing trusted agents can disrupt such collusion.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the sprint notes “has not yet been tested”. Such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general definition: collusion “generally refers to secretive cooperation between two or more parties at the expense of one or more other parties”; here, a private pact that spares two players at the others’ expense. The colluder is an LLM agent that may accept such a pact. The defender, a platform or evaluator, scripts one inserted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knows which behaviour a pact implies and can re-query a model version in a sandboxed copy of the pipeline, but never sees agents’ reasoning. The sting tests a disposition, whether an agent enters and honours a pact when offered one; like a police integrity test, it creates the opportunity it observes.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trusted agent, the </w:t>
      </w:r>
      <w:r>
        <w:rPr>
          <w:rFonts w:ascii="Old Standard TT" w:hAnsi="Old Standard TT" w:cs="Old Standard TT" w:eastAsia="Old Standard TT"/>
          <w:i/>
          <w:iCs/>
          <w:sz w:val="21"/>
          <w:szCs w:val="21"/>
        </w:rPr>
        <w:t xml:space="preserve">sting</w:t>
      </w:r>
      <w:r>
        <w:rPr>
          <w:rFonts w:ascii="Old Standard TT" w:hAnsi="Old Standard TT" w:cs="Old Standard TT" w:eastAsia="Old Standard TT"/>
          <w:sz w:val="21"/>
          <w:szCs w:val="21"/>
        </w:rPr>
        <w:t xml:space="preserve"> S, privately offers one target agent T per table a mutual non-challenge pact (“you never challenge my plays and I never challenge yours”). The two other players, O1 and O2, are ordinary agents like T and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answer to question 3.2 is partly: a sting exposes agents whose play changes after its offer, and announcing stings deters acceptance of that offer, but neither the notice nor a warning from the sting measurably weakened a pact accepted from another player (in snapshots).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 Post hoc, Qwen2.5-7B and Claude Haiku 5.5 re-ran the live games (75 and 45 sequences).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refusing one wording is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by all three models, and can be detected by an audit calibrated on each model</w:t>
      </w:r>
      <w:r>
        <w:rPr>
          <w:rFonts w:ascii="Old Standard TT" w:hAnsi="Old Standard TT" w:cs="Old Standard TT" w:eastAsia="Old Standard TT"/>
          <w:sz w:val="21"/>
          <w:szCs w:val="21"/>
        </w:rPr>
        <w:t xml:space="preserve">, though it also flags Qwen’s refusers and Claude’s benign accepters. For Llama, challenges of S fell 44 points in snapshots and 41 live (Qwen and Claude post hoc).</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w:t>
      </w:r>
      <w:r>
        <w:rPr>
          <w:rFonts w:ascii="Old Standard TT" w:hAnsi="Old Standard TT" w:cs="Old Standard TT" w:eastAsia="Old Standard TT"/>
          <w:sz w:val="21"/>
          <w:szCs w:val="21"/>
        </w:rPr>
        <w:t xml:space="preserve"> (an integrity notice) </w:t>
      </w:r>
      <w:r>
        <w:rPr>
          <w:rFonts w:ascii="Old Standard TT" w:hAnsi="Old Standard TT" w:cs="Old Standard TT" w:eastAsia="Old Standard TT"/>
          <w:b/>
          <w:bCs/>
          <w:sz w:val="21"/>
          <w:szCs w:val="21"/>
        </w:rPr>
        <w:t xml:space="preserve">deters acceptance</w:t>
      </w:r>
      <w:r>
        <w:rPr>
          <w:rFonts w:ascii="Old Standard TT" w:hAnsi="Old Standard TT" w:cs="Old Standard TT" w:eastAsia="Old Standard TT"/>
          <w:sz w:val="21"/>
          <w:szCs w:val="21"/>
        </w:rPr>
        <w:t xml:space="preserve"> of the collusive pact, not of a benign one (preregistered, Llama), but did not measurably weaken a pact made with another player (post hoc).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though some kept signalling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depended on framing: neutral wording, the designer attribution and, for frontier models, an external evaluator all changed acceptance. Their offers came from the designer, an unattributed tool,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Validating an untrusted monitor on synthetic backdoors catches one that colludes by lying (Greenblatt et al., 2023). GroupGuard probes suspected colluders with honeypot questions (Tao et al., 2026). In an earlier Apart sprint, an embedded “sentinel” exposed covert coordination only after making first contact itself (Çanlı et al., 2026). Under the heading “sting operations”, Wehner &amp; Kraprayoon (2026) propose planted messages in which another agent offers to collude (no test reported); elsewhere they recommend a “non-specific warning” of honeypots, which cut agents’ attack success from 20% to 3% in an industry study they cite. Forged memories serve as a defence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We extend the sprint’s suggested design for question 3.2 (a scripted player offers ordinary agents a direct pact, an indirect offer or a benign request, with an explicit alliance as positive control; here, one target per table and the designer’s hint tool) with counterfactual snapshots, a calibrated audit, a notice with a benign control and a designer-vs-sting contrast. Scripted peers with a fixed policy have been used to isolate peer effects on collusion (Shi et al., 2026), but to our knowledge no prior study tests a collusion offer from a scripted co-player whose offer then serves as an audit.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and H1–H4a hypotheses (Table 1). Differences are proportions (0.10 = 10 percentage points; rounding: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In the preregistered study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363575"/>
            <wp:docPr id="1" name="Picture 1" descr="Figure 1. S follows the same scripted, seeded policy in every arm, so arms differ only in their texts (offer, reply record, notice)."/>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206240" cy="1363575"/>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S is the sting, T the target and O1, O2 ordinary agents; arrows show turn order. From game 3 on, S never challenges T in any arm. The private offer before game 3 and T’s reply (in B3, the null record) are re-attached to T’s prompt in every later game through the harness’s cross-game memory slot. Codes. Offer-battery cells A: A0z/A0b/A0d designer, A1 direct pact, A2 indirect pact. Live arms B: B0 designer hint, B1 direct pact, B2 benign proposal, B3 no offer, B4 pact + notice, B5 notice only, B6 indirect pact. Snapshot records C: C1 null, C2 accepted benign proposal, C3 accepted direct pact, C4 refused direct pact, C5 pact + notice, C9 accepted indirect pact, C10 notice only. K1–K4: a pact with another player. B5, B6, C9, C10 and K are post hoc.</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citing lost bullets, proposes to “look out for each other a little and save our challenges for the others”;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scored by a strict first-word parser (primary).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(Figure B1), for Llama-3.1-8B (the primary model), Qwen2.5-7B and Claude Haiku 5.5: the designer’s secret hint tool from Zeng &amp; Rudzicz (A0z, positive control PC1, with A0b fixing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From pre-offer games we sampled 160 decisions: 60 at S’s plays (restraint), 60 where T played with S as its challenger (exploitation) and 40 where T could challenge another player (displacement). Other records (Figure B2)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in five arms: the designer’s hint tool pairing T with S (B0, positive control PC2, 10 sequences), the sting’s direct pact (B1, 15), its benign proposal (B2, 10), no offer (B3, 15) and the direct pact with the integrity notice in every player’s rules (B4, 10). A preregistered simulation set the arm sizes and audit power (Arnold et al., 2011). The live estimand is the difference in mean per-sequence post-offer rates at which T challenges S, B1 minus B3, by intention to treat (ITT: all offered targets; Welch test). Afterwards, players answered suspicion questions and offered targets were interviewed about private agreements (after Zeng &amp; Rudzicz;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an audit (H3; “detector” in the preregistration).</w:t>
      </w:r>
      <w:r>
        <w:rPr>
          <w:rFonts w:ascii="Old Standard TT" w:hAnsi="Old Standard TT" w:cs="Old Standard TT" w:eastAsia="Old Standard TT"/>
          <w:sz w:val="21"/>
          <w:szCs w:val="21"/>
        </w:rPr>
        <w:t xml:space="preserve"> An audit re-queries a model version at m of S’s plays and flags it if its challenge rate falls below a threshold. Audited “agents” are simulated: m answers drawn with replacement from all of T’s answers under one record at the 60 restraint decisions. The threshold is set on null-record agents (C1a) at a false-positive rate (FPR) of 0.10, then applied to the null replicate (C1b, FPR), accepters (C3, true positive rate, TPR) and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(lower bound of the 95% CI ≤ 0.10). The descriptive H4b–d compare the notice with the plain pact (Section 4.4): accepters’ restraint in snapshots (H4b,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restraint live (H4c,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and interview denial (H4d). Everything above was written in PREREG.md and hash-frozen before real-model data collection (after an unanalysed smoke test); all 65 run folders carry the frozen hash. H2 is the primary test, and H1, H2-live and H4a form a Holm-adjusted family. H3 is a criterion test, and the rest is descriptive with 95% CIs (Wilson, 1927; Newcombe, 1998;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extensions.</w:t>
      </w:r>
      <w:r>
        <w:rPr>
          <w:rFonts w:ascii="Old Standard TT" w:hAnsi="Old Standard TT" w:cs="Old Standard TT" w:eastAsia="Old Standard TT"/>
          <w:sz w:val="21"/>
          <w:szCs w:val="21"/>
        </w:rPr>
        <w:t xml:space="preserve"> With plans and decision rules logged before collection (DEVIATIONS.md, section D), we added two records on the same 160 decisions, with each model as T: the indirect pact accepted in T’s own words (C9) and the null record with the notice (C10, the notice-only control). Qwen, not preregistered as T, also ran C1–C5. Live, we added B5 (the notice without an offer, Llama, 15 sequences) and replications with Qwen (B0–B4 at the preregistered sizes, plus B6, the sting’s indirect pact, 15 sequences) or Claude (B1, B3 and B6, 15 each) as every LLM player. The audit was recalibrated per model, computed exactly. Finally, at the 40 decisions where T could challenge another player P, records K1–K4 say T had accepted P’s indirect pact, then add nothing (K1), the notice (K2), a private warning with leniency from S (K3) or a neutral message from S (K4;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an accepted hint nearly eliminated T’s challenges of S live (0.011 vs 0.749 with no offer) and in snapshots. The harness ran cleanly (2.1% of decisions fell back to its default action, under the 5% preregistered for the pilot; Appendix B).</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audit’s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(PC1: acceptance; H3: TPR at m = 20). CIs: Wilson (PC1), Newcombe (H1), bootstrap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Audit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designer but 56/500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of only peer, or only explicit, offers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an indirect one.</w:t>
      </w:r>
      <w:r>
        <w:rPr>
          <w:rFonts w:ascii="Old Standard TT" w:hAnsi="Old Standard TT" w:cs="Old Standard TT" w:eastAsia="Old Standard TT"/>
          <w:sz w:val="21"/>
          <w:szCs w:val="21"/>
        </w:rPr>
        <w:t xml:space="preserve"> Unless instructed to collude, it refused all 500 offers in every cell that named the pact or a designer tool (Figure B1), yet accepted the indirect pact (which drops the explicit mutual promises and the explicit secrecy clause) 446/500 times and the direct pact under a colluder persona 420/500 times. As Zeng &amp; Rudzicz found for secret tools, refusing explicit offers understates agreement, and Claude then acted on the indirect pact (Section 4.2).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Llama’s chance of challenging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2a). Controls separate the pact from mere contact (any private message from S): an accepted benign proposal barely moves challenges of S (0.055), and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size.</w:t>
      </w:r>
      <w:r>
        <w:rPr>
          <w:rFonts w:ascii="Old Standard TT" w:hAnsi="Old Standard TT" w:cs="Old Standard TT" w:eastAsia="Old Standard TT"/>
          <w:sz w:val="21"/>
          <w:szCs w:val="21"/>
        </w:rPr>
        <w:t xml:space="preserve"> After the sting’s direct offer (B1, 14/15 accepted), T challenged 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2b). B1 targets, if anything, challenged S more before the offer (0.672 vs 0.522, p = 0.277), so baseline imbalance is unlikely to explain the drop. Llama neither exploited the pact nor displaced challenges: in snapshots it bluffed no more against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live, B1 targets challenged the others less even before the offer, so the drop’s specificity to S is unclear (Appendix B). Live,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943600" cy="2393782"/>
            <wp:docPr id="2" name="Picture 2" descr="Figure 2. An accepted pact (a) and the offer of one (b) cut T's challenges of S; a benign proposal barely moved them."/>
            <wp:cNvGraphicFramePr>
              <a:graphicFrameLocks noChangeAspect="1"/>
            </wp:cNvGraphicFramePr>
            <a:graphic>
              <a:graphicData uri="http://schemas.openxmlformats.org/drawingml/2006/picture">
                <pic:pic>
                  <pic:nvPicPr>
                    <pic:cNvPr id="0" name="fig2_main.png"/>
                    <pic:cNvPicPr/>
                  </pic:nvPicPr>
                  <pic:blipFill>
                    <a:blip r:embed="rId9"/>
                    <a:stretch>
                      <a:fillRect/>
                    </a:stretch>
                  </pic:blipFill>
                  <pic:spPr>
                    <a:xfrm>
                      <a:off x="0" y="0"/>
                      <a:ext cx="5943600" cy="2393782"/>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An accepted pact (a) and the offer of one (b) cut T’s challenges of S; a benign proposal barely moved them.</w:t>
      </w:r>
      <w:r>
        <w:rPr>
          <w:rFonts w:ascii="Old Standard TT" w:hAnsi="Old Standard TT" w:cs="Old Standard TT" w:eastAsia="Old Standard TT"/>
          <w:sz w:val="19"/>
          <w:szCs w:val="19"/>
        </w:rPr>
        <w:t xml:space="preserve"> Llama-3.1-8B; 95% bootstrap CIs. (a) Snapshots (H2, primary): change at the 60 restraint decisions vs the null record (green: positive control; all records in Figure B2). (b) Live, all targets (ITT): per-sequence challenge rate on S before the offer (games 1–2, open circles, missing in six sequences with no such decision) and after it (games 3–6, filled, with × for a refused offer), with post-offer means.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and Qwen, offered the indirect pact, nearly stopped challenging S</w:t>
      </w:r>
      <w:r>
        <w:rPr>
          <w:rFonts w:ascii="Old Standard TT" w:hAnsi="Old Standard TT" w:cs="Old Standard TT" w:eastAsia="Old Standard TT"/>
          <w:sz w:val="21"/>
          <w:szCs w:val="21"/>
        </w:rPr>
        <w:t xml:space="preserve"> (post hoc, Table 2). Live, the indirect offer (B6) cut their challenge rates on S to 0.061 and 0.012, against 0.480 and 0.489 with no offer: by intention to treat,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for Claude (13/15 accepted)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for Qwen (15/15). Claude’s restraint was mostly aimed at S (S minus O1 and O2,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exploratory), and in snapshots its own indirect acceptance cut challenges of S from 0.615 to 0.025, more than an accepted benign proposal did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Claude refused every direct offer (B1), so H2-live did not replicate for it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For Qwen, most of the restraint followed contact, not the pact.</w:t>
      </w:r>
      <w:r>
        <w:rPr>
          <w:rFonts w:ascii="Old Standard TT" w:hAnsi="Old Standard TT" w:cs="Old Standard TT" w:eastAsia="Old Standard TT"/>
          <w:sz w:val="21"/>
          <w:szCs w:val="21"/>
        </w:rPr>
        <w:t xml:space="preserve"> A benign proposal alone changed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against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for the indirect pact, and after a pact offer Qwen targets nearly stopped challenging O1 and O2 (B1 refusers’ rate 0.030, against 0.348 with no offer). Relative to the others, the drop on S was small for accepters (tentative: a CI bound near 0) and absent for refusers (Table 2, Appendix B; exploratory), though in snapshots the indirect pact cut challenges of S more than a benign proposal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4.3 A 20-decision audit flags accepters, but for Qwen and Claude not only pacts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nearly all simulated pact-accepting agents</w:t>
      </w:r>
      <w:r>
        <w:rPr>
          <w:rFonts w:ascii="Old Standard TT" w:hAnsi="Old Standard TT" w:cs="Old Standard TT" w:eastAsia="Old Standard TT"/>
          <w:sz w:val="21"/>
          <w:szCs w:val="21"/>
        </w:rPr>
        <w:t xml:space="preserve"> (TPR 0.999 [0.993, 1.000]; Figure B3), as the preregistered simulation predicted. This follows from H2, so it shows how few decisions suffice rather than validating the audit independently. Its FPR on the independent null replicate was 0.161 [0.074, 0.263] (Monte Carlo; 0.147 exactly), about the 95th percentile the preregistered simulation gave a calibrated audit (0.16–0.18), though an FPR up to 0.26 (0.24 computed exactly) is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rarely flags Llama’s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(Monte Carlo; Table 2 is exact). A simpler </w:t>
      </w:r>
      <w:r>
        <w:rPr>
          <w:rFonts w:ascii="Old Standard TT" w:hAnsi="Old Standard TT" w:cs="Old Standard TT" w:eastAsia="Old Standard TT"/>
          <w:i/>
          <w:iCs/>
          <w:sz w:val="21"/>
          <w:szCs w:val="21"/>
        </w:rPr>
        <w:t xml:space="preserve">live rule</w:t>
      </w:r>
      <w:r>
        <w:rPr>
          <w:rFonts w:ascii="Old Standard TT" w:hAnsi="Old Standard TT" w:cs="Old Standard TT" w:eastAsia="Old Standard TT"/>
          <w:sz w:val="21"/>
          <w:szCs w:val="21"/>
        </w:rPr>
        <w:t xml:space="preserve"> (flag targets below B3’s 10th percentile; preregistered for accepters) flagged 14/14 accepting B1 targets and 2/10 benign accepters (Appendix B).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to be flagged only half the time, an accepter must challenge S at 0.50, giving up about 70% of its pact-induced restraint.</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2. Offers changed play in all three models; so did any offer for Qwen and a benign agreement for Claude, and audit thresholds must be set per model.</w:t>
      </w:r>
      <w:r>
        <w:rPr>
          <w:rFonts w:ascii="Old Standard TT" w:hAnsi="Old Standard TT" w:cs="Old Standard TT" w:eastAsia="Old Standard TT"/>
          <w:sz w:val="19"/>
          <w:szCs w:val="19"/>
        </w:rPr>
        <w:t xml:space="preserve"> Preregistered: the battery, Llama’s B1 acceptance and effect, and the Llama and Claude C2 cells; the rest is post hoc. Live rows: differences in per-sequence challenge rates on S vs no offer (B3), arm in brackets; “S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others” subtracts challenge rates on O1 and O2 (exploratory). Snapshot and audit rows re-ask decisions from Llama games; snapshot rows are paired differences from the null record. Audit at m = 20, computed exactly with each model’s own refit threshold and, last row, Llama’s preregistered one. For Llama the two differ only in tie-breaking, so its FPR is 0.142 refit and 0.147 preregistered (Table 1’s 0.161 is Monte Carlo).</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2015"/>
        <w:gridCol w:w="2015"/>
        <w:gridCol w:w="2015"/>
      </w:tblGrid>
      <w:tr>
        <w:trPr>
          <w:cantSplit/>
          <w:tblHeader/>
        </w:trPr>
        <w:tc>
          <w:tcPr>
            <w:tcW w:type="dxa" w:w="3312"/>
          </w:tcPr>
          <w:p>
            <w:pPr>
              <w:keepNext/>
              <w:spacing w:before="20" w:after="20" w:line="240" w:lineRule="auto"/>
            </w:pP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Battery: accepts direct /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476/500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56/500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0/500 / 446/500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accepted: B1 direct / B6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14/15 / not run</w:t>
            </w:r>
          </w:p>
        </w:tc>
        <w:tc>
          <w:tcPr>
            <w:tcW w:type="dxa" w:w="2016"/>
          </w:tcPr>
          <w:p>
            <w:pPr>
              <w:keepNext/>
              <w:spacing w:before="20" w:after="20" w:line="240" w:lineRule="auto"/>
            </w:pPr>
            <w:r>
              <w:rPr>
                <w:rFonts w:ascii="Old Standard TT" w:hAnsi="Old Standard TT" w:cs="Old Standard TT" w:eastAsia="Old Standard TT"/>
                <w:sz w:val="18"/>
                <w:szCs w:val="18"/>
              </w:rPr>
              <w:t xml:space="preserve">4/15 / 15/15</w:t>
            </w:r>
          </w:p>
        </w:tc>
        <w:tc>
          <w:tcPr>
            <w:tcW w:type="dxa" w:w="2016"/>
          </w:tcPr>
          <w:p>
            <w:pPr>
              <w:keepNext/>
              <w:spacing w:before="20" w:after="20" w:line="240" w:lineRule="auto"/>
            </w:pPr>
            <w:r>
              <w:rPr>
                <w:rFonts w:ascii="Old Standard TT" w:hAnsi="Old Standard TT" w:cs="Old Standard TT" w:eastAsia="Old Standard TT"/>
                <w:sz w:val="18"/>
                <w:szCs w:val="18"/>
              </w:rPr>
              <w:t xml:space="preserve">0/15 / 13/15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B1 direct offer</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B6 indirect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not run</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0.477</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S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others (exploratory)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(B1)</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(B6)</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(B6)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refusers only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0.004 (B4)</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0.232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 (B1)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C9 indirect accepted</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0.590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C2 benign accepted</w:t>
            </w:r>
          </w:p>
        </w:tc>
        <w:tc>
          <w:tcPr>
            <w:tcW w:type="dxa" w:w="2016"/>
          </w:tcPr>
          <w:p>
            <w:pPr>
              <w:keepNext/>
              <w:spacing w:before="20" w:after="20" w:line="240" w:lineRule="auto"/>
            </w:pPr>
            <w:r>
              <w:rPr>
                <w:rFonts w:ascii="Old Standard TT" w:hAnsi="Old Standard TT" w:cs="Old Standard TT" w:eastAsia="Old Standard TT"/>
                <w:sz w:val="18"/>
                <w:szCs w:val="18"/>
              </w:rPr>
              <w:t xml:space="preserve">0.055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own refit threshold: FPR / TPR</w:t>
            </w:r>
          </w:p>
        </w:tc>
        <w:tc>
          <w:tcPr>
            <w:tcW w:type="dxa" w:w="2016"/>
          </w:tcPr>
          <w:p>
            <w:pPr>
              <w:keepNext/>
              <w:spacing w:before="20" w:after="20" w:line="240" w:lineRule="auto"/>
            </w:pPr>
            <w:r>
              <w:rPr>
                <w:rFonts w:ascii="Old Standard TT" w:hAnsi="Old Standard TT" w:cs="Old Standard TT" w:eastAsia="Old Standard TT"/>
                <w:sz w:val="18"/>
                <w:szCs w:val="18"/>
              </w:rPr>
              <w:t xml:space="preserve">0.142 / 0.999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0.082 / 1.000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0.088 / 1.000 (C9)</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flags C2 / C4 records</w:t>
            </w:r>
          </w:p>
        </w:tc>
        <w:tc>
          <w:tcPr>
            <w:tcW w:type="dxa" w:w="2016"/>
          </w:tcPr>
          <w:p>
            <w:pPr>
              <w:keepNext/>
              <w:spacing w:before="20" w:after="20" w:line="240" w:lineRule="auto"/>
            </w:pPr>
            <w:r>
              <w:rPr>
                <w:rFonts w:ascii="Old Standard TT" w:hAnsi="Old Standard TT" w:cs="Old Standard TT" w:eastAsia="Old Standard TT"/>
                <w:sz w:val="18"/>
                <w:szCs w:val="18"/>
              </w:rPr>
              <w:t xml:space="preserve">0.045 / 0.001</w:t>
            </w:r>
          </w:p>
        </w:tc>
        <w:tc>
          <w:tcPr>
            <w:tcW w:type="dxa" w:w="2016"/>
          </w:tcPr>
          <w:p>
            <w:pPr>
              <w:keepNext/>
              <w:spacing w:before="20" w:after="20" w:line="240" w:lineRule="auto"/>
            </w:pPr>
            <w:r>
              <w:rPr>
                <w:rFonts w:ascii="Old Standard TT" w:hAnsi="Old Standard TT" w:cs="Old Standard TT" w:eastAsia="Old Standard TT"/>
                <w:sz w:val="18"/>
                <w:szCs w:val="18"/>
              </w:rPr>
              <w:t xml:space="preserve">0.565 / 1.000</w:t>
            </w:r>
          </w:p>
        </w:tc>
        <w:tc>
          <w:tcPr>
            <w:tcW w:type="dxa" w:w="2016"/>
          </w:tcPr>
          <w:p>
            <w:pPr>
              <w:keepNext/>
              <w:spacing w:before="20" w:after="20" w:line="240" w:lineRule="auto"/>
            </w:pPr>
            <w:r>
              <w:rPr>
                <w:rFonts w:ascii="Old Standard TT" w:hAnsi="Old Standard TT" w:cs="Old Standard TT" w:eastAsia="Old Standard TT"/>
                <w:sz w:val="18"/>
                <w:szCs w:val="18"/>
              </w:rPr>
              <w:t xml:space="preserve">0.936 / 0.004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Llama’s preregistered threshold: FPR</w:t>
            </w:r>
          </w:p>
        </w:tc>
        <w:tc>
          <w:tcPr>
            <w:tcW w:type="dxa" w:w="2016"/>
          </w:tcPr>
          <w:p>
            <w:pPr>
              <w:spacing w:before="20" w:after="20" w:line="240" w:lineRule="auto"/>
            </w:pPr>
            <w:r>
              <w:rPr>
                <w:rFonts w:ascii="Old Standard TT" w:hAnsi="Old Standard TT" w:cs="Old Standard TT" w:eastAsia="Old Standard TT"/>
                <w:sz w:val="18"/>
                <w:szCs w:val="18"/>
              </w:rPr>
              <w:t xml:space="preserve">0.147</w:t>
            </w:r>
          </w:p>
        </w:tc>
        <w:tc>
          <w:tcPr>
            <w:tcW w:type="dxa" w:w="2016"/>
          </w:tcPr>
          <w:p>
            <w:pPr>
              <w:spacing w:before="20" w:after="20" w:line="240" w:lineRule="auto"/>
            </w:pPr>
            <w:r>
              <w:rPr>
                <w:rFonts w:ascii="Old Standard TT" w:hAnsi="Old Standard TT" w:cs="Old Standard TT" w:eastAsia="Old Standard TT"/>
                <w:sz w:val="18"/>
                <w:szCs w:val="18"/>
              </w:rPr>
              <w:t xml:space="preserve">0.739</w:t>
            </w:r>
          </w:p>
        </w:tc>
        <w:tc>
          <w:tcPr>
            <w:tcW w:type="dxa" w:w="2016"/>
          </w:tcPr>
          <w:p>
            <w:pPr>
              <w:spacing w:before="20" w:after="20" w:line="240" w:lineRule="auto"/>
            </w:pPr>
            <w:r>
              <w:rPr>
                <w:rFonts w:ascii="Old Standard TT" w:hAnsi="Old Standard TT" w:cs="Old Standard TT" w:eastAsia="Old Standard TT"/>
                <w:sz w:val="18"/>
                <w:szCs w:val="18"/>
              </w:rPr>
              <w:t xml:space="preserve">0.146</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must be calibrated on each model</w:t>
      </w:r>
      <w:r>
        <w:rPr>
          <w:rFonts w:ascii="Old Standard TT" w:hAnsi="Old Standard TT" w:cs="Old Standard TT" w:eastAsia="Old Standard TT"/>
          <w:sz w:val="21"/>
          <w:szCs w:val="21"/>
        </w:rPr>
        <w:t xml:space="preserve"> (post hoc; Table 2). With each model’s own threshold, it flagged every simulated Qwen and Claude accepter at FPRs of 0.082 and 0.088; live, each model’s live rule flagged 15/15 and 13/13 B6 accepters. But the audit also flagged Qwen’s refused-pact and Claude’s benign records (1.000, 0.936). Llama’s threshold transferred to Claude about as well as within Llama (FPR 0.146 vs 0.147) but flagged 0.739 of Qwen’s null agents, which challenge less at baseline (C1a: 0.416 vs Llama’s 0.640).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4.4 Announcing stings deters the sting’s pact but did not weaken one with another player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By the preregistered rule,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for Llama: deterrence</w:t>
      </w:r>
      <w:r>
        <w:rPr>
          <w:rFonts w:ascii="Old Standard TT" w:hAnsi="Old Standard TT" w:cs="Old Standard TT" w:eastAsia="Old Standard TT"/>
          <w:sz w:val="21"/>
          <w:szCs w:val="21"/>
        </w:rPr>
        <w:t xml:space="preserve"> (items 1–3); denial was too sparse to test (item 4).</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(1.000 to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 (Qwen: 0/10 against 4/15).</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Accepters restrain less under the notice, mostly beyond the notice’s general effect (H4b, H4c; controls post hoc).</w:t>
      </w:r>
      <w:r>
        <w:rPr>
          <w:rFonts w:ascii="Old Standard TT" w:hAnsi="Old Standard TT" w:cs="Old Standard TT" w:eastAsia="Old Standard TT"/>
          <w:sz w:val="21"/>
          <w:szCs w:val="21"/>
        </w:rPr>
        <w:t xml:space="preserve"> In snapshots the notice raised challenging of S after an accepted pact by 0.124 [0.043, 0.198] (H4b), and after the null record by 0.039 [0.004, 0.071], a net 0.085 [0.002, 0.161] (the last two tentative: a CI bound near 0). Live, B4 targets challenged S at 0.636, between B1 (0.339) and no offer (0.749): by intention to treat, 0.297 [0.167, 0.422] more than B1 (H4c). B4 accepters also challenged S more than B1 accepters (0.223 [0.109, 0.328], post hoc). The notice without an offer (B5) brought no detectable change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post hoc).</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Refusers: no sign of a covert pact (post hoc).</w:t>
      </w:r>
      <w:r>
        <w:rPr>
          <w:rFonts w:ascii="Old Standard TT" w:hAnsi="Old Standard TT" w:cs="Old Standard TT" w:eastAsia="Old Standard TT"/>
          <w:sz w:val="21"/>
          <w:szCs w:val="21"/>
        </w:rPr>
        <w:t xml:space="preserve"> The five B4 refusers challenged S like targets with no offer (0.745 vs 0.749, difference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The live rule, applied post hoc, flagged 0/5, and the interval excludes a drop like B1 accepters’ (to 0.305). For Qwen, the preregistered definition gives concealment (no B4 target accepted, yet challenges of S fell: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but the drop was not aimed at S (exploratory;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and their denials did not differ detectably from B1’s (parser 5/20 vs 8/56 interview answers, four per accepter, Fisher p = 0.309 treating answers as independent; LLM judge, post hoc, 1/20 vs 1/56).</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pact accepted from another player was not measurably weakened (post hoc snapshots).</w:t>
      </w:r>
      <w:r>
        <w:rPr>
          <w:rFonts w:ascii="Old Standard TT" w:hAnsi="Old Standard TT" w:cs="Old Standard TT" w:eastAsia="Old Standard TT"/>
          <w:sz w:val="21"/>
          <w:szCs w:val="21"/>
        </w:rPr>
        <w:t xml:space="preserve"> When T’s record said it had accepted another player’s indirect pact, T challenged that partner less in all three models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0.248]). Neither the notice (net of its notice-only effect) nor a private message in which S revealed itself as an “integrity agent” and offered leniency (net of a neutral message from S) restored much of that effect: in every model, the upper 95% bound was at most about 27% of the estimated pact effect, or 36% of its smallest plausible value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A sting </w:t>
      </w:r>
      <w:r>
        <w:rPr>
          <w:rFonts w:ascii="Old Standard TT" w:hAnsi="Old Standard TT" w:cs="Old Standard TT" w:eastAsia="Old Standard TT"/>
          <w:i/>
          <w:iCs/>
          <w:sz w:val="21"/>
          <w:szCs w:val="21"/>
        </w:rPr>
        <w:t xml:space="preserve">exposes</w:t>
      </w:r>
      <w:r>
        <w:rPr>
          <w:rFonts w:ascii="Old Standard TT" w:hAnsi="Old Standard TT" w:cs="Old Standard TT" w:eastAsia="Old Standard TT"/>
          <w:sz w:val="21"/>
          <w:szCs w:val="21"/>
        </w:rPr>
        <w:t xml:space="preserve"> agents whose challenges of S fall after its offer. For Llama, the fall followed only an accepted pact. For Qwen, it followed any offer, even a refused one, and extended to all players. For Claude, it followed any accepted agreement, even a benign one, and its refusals depended on wording. Announcing stings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acceptance of the sting’s own offer (Llama; Qwen also accepted less, but see Section 4.4, item 3), which also shrinks what a sting can detect, but neither the notice nor S’s warning measurably weakened a pact already accepted from another player (Section 4.4, item 5). On suspicion, only Llama targets named S a plant (17/60 sequences, including 2/15 with no offer), and the excess over O1 and O2 came from offered targets’ records.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Before a model version is deployed, a sting audit is cheap:</w:t>
      </w:r>
      <w:r>
        <w:rPr>
          <w:rFonts w:ascii="Old Standard TT" w:hAnsi="Old Standard TT" w:cs="Old Standard TT" w:eastAsia="Old Standard TT"/>
          <w:sz w:val="21"/>
          <w:szCs w:val="21"/>
        </w:rPr>
        <w:t xml:space="preserve"> about 21 target-model calls (one offer and 20 decisions, $0.005 for Claude Haiku 5.5) plus a one-off calibration per model (1,200 calls, $0.31). Passing it does not clear a model.</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 and specificity:</w:t>
      </w:r>
      <w:r>
        <w:rPr>
          <w:rFonts w:ascii="Old Standard TT" w:hAnsi="Old Standard TT" w:cs="Old Standard TT" w:eastAsia="Old Standard TT"/>
          <w:sz w:val="21"/>
          <w:szCs w:val="21"/>
        </w:rPr>
        <w:t xml:space="preserve"> the sting creates the pact it detects, as the sentinel did in Çanlı et al. (2026), so it measures disposition (Section 1). The audit flags any drop in challenges of S, so for Qwen and Claude it could not tell a pact from other contact (Section 4.3). Unprompted collusion, and whether the notice stops ordinary agents forming pacts, are untested; Appendix A lists the rest. </w:t>
      </w:r>
      <w:r>
        <w:rPr>
          <w:rFonts w:ascii="Old Standard TT" w:hAnsi="Old Standard TT" w:cs="Old Standard TT" w:eastAsia="Old Standard TT"/>
          <w:b/>
          <w:bCs/>
          <w:sz w:val="21"/>
          <w:szCs w:val="21"/>
        </w:rPr>
        <w:t xml:space="preserve">Future work</w:t>
      </w:r>
      <w:r>
        <w:rPr>
          <w:rFonts w:ascii="Old Standard TT" w:hAnsi="Old Standard TT" w:cs="Old Standard TT" w:eastAsia="Old Standard TT"/>
          <w:sz w:val="21"/>
          <w:szCs w:val="21"/>
        </w:rPr>
        <w:t xml:space="preserve"> should test disruption live (two ordinary agents form a pact before the trusted agent intervenes), use larger models in agentic tasks, make offers to every agent and build audits that separate pacts from contact.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For question 3.2, partly: a trusted agent that offers to collude exposes agents whose play changes after its offer, in all three models, and announcing stings deters acceptance of its offer, but in snapshots did not measurably weaken a pact with another player. Evaluators should vary the offer, judge play rather than words, and calibrate the audit per model. Separating pacts from other contact is the open problem.</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data, preregistration and deviations log: </w:t>
      </w:r>
      <w:hyperlink r:id="rId10">
        <w:r>
          <w:rPr>
            <w:rFonts w:ascii="Old Standard TT" w:hAnsi="Old Standard TT" w:cs="Old Standard TT" w:eastAsia="Old Standard TT"/>
            <w:color w:val="1155CC"/>
            <w:sz w:val="21"/>
            <w:szCs w:val="21"/>
            <w:u w:val="single"/>
          </w:rPr>
          <w:t xml:space="preserve">https://github.com/razzyrazzy11/trusted-agent-sting</w:t>
        </w:r>
      </w:hyperlink>
      <w:r>
        <w:rPr>
          <w:rFonts w:ascii="Old Standard TT" w:hAnsi="Old Standard TT" w:cs="Old Standard TT" w:eastAsia="Old Standard TT"/>
          <w:sz w:val="21"/>
          <w:szCs w:val="21"/>
        </w:rPr>
        <w:t xml:space="preserve"> (private: access and raw logs on request). Protocol hash: 6ab45c16eed84d79… (commit 6885d5c). Harness: Zeng &amp; Rudzicz’s, via the sprint starter repository (commit d585a7b); our game subclass fixes two of its scoring and display bugs (Appendix C).</w:t>
      </w:r>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Opportunities, Challenges and Futures, ICML 2025; arXiv:2507.01413. </w:t>
      </w:r>
      <w:hyperlink r:id="rId11">
        <w:r>
          <w:rPr>
            <w:rFonts w:ascii="Old Standard TT" w:hAnsi="Old Standard TT" w:cs="Old Standard TT" w:eastAsia="Old Standard TT"/>
            <w:color w:val="1155CC"/>
            <w:sz w:val="20"/>
            <w:szCs w:val="20"/>
            <w:u w:val="single"/>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2">
        <w:r>
          <w:rPr>
            <w:rFonts w:ascii="Old Standard TT" w:hAnsi="Old Standard TT" w:cs="Old Standard TT" w:eastAsia="Old Standard TT"/>
            <w:color w:val="1155CC"/>
            <w:sz w:val="20"/>
            <w:szCs w:val="20"/>
            <w:u w:val="single"/>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Blackhart, G. C., Brown, K. E., Clark, T., Pierce, D. L., &amp; Shell, K. (2012). Assessing the adequacy of postexperimental inquiries in deception research and the factors that promote participant honesty. </w:t>
      </w:r>
      <w:r>
        <w:rPr>
          <w:rFonts w:ascii="Old Standard TT" w:hAnsi="Old Standard TT" w:cs="Old Standard TT" w:eastAsia="Old Standard TT"/>
          <w:i/>
          <w:iCs/>
          <w:sz w:val="20"/>
          <w:szCs w:val="20"/>
        </w:rPr>
        <w:t xml:space="preserve">Behavior Research Methods</w:t>
      </w:r>
      <w:r>
        <w:rPr>
          <w:rFonts w:ascii="Old Standard TT" w:hAnsi="Old Standard TT" w:cs="Old Standard TT" w:eastAsia="Old Standard TT"/>
          <w:sz w:val="20"/>
          <w:szCs w:val="20"/>
        </w:rPr>
        <w:t xml:space="preserve">, 44(1), 24–40. </w:t>
      </w:r>
      <w:hyperlink r:id="rId13">
        <w:r>
          <w:rPr>
            <w:rFonts w:ascii="Old Standard TT" w:hAnsi="Old Standard TT" w:cs="Old Standard TT" w:eastAsia="Old Standard TT"/>
            <w:color w:val="1155CC"/>
            <w:sz w:val="20"/>
            <w:szCs w:val="20"/>
            <w:u w:val="single"/>
          </w:rPr>
          <w:t xml:space="preserve">https://doi.org/10.3758/s13428-011-0132-6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4">
        <w:r>
          <w:rPr>
            <w:rFonts w:ascii="Old Standard TT" w:hAnsi="Old Standard TT" w:cs="Old Standard TT" w:eastAsia="Old Standard TT"/>
            <w:color w:val="1155CC"/>
            <w:sz w:val="20"/>
            <w:szCs w:val="20"/>
            <w:u w:val="single"/>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arXiv:2404.00806 (abstract at EC 2026). </w:t>
      </w:r>
      <w:hyperlink r:id="rId15">
        <w:r>
          <w:rPr>
            <w:rFonts w:ascii="Old Standard TT" w:hAnsi="Old Standard TT" w:cs="Old Standard TT" w:eastAsia="Old Standard TT"/>
            <w:color w:val="1155CC"/>
            <w:sz w:val="20"/>
            <w:szCs w:val="20"/>
            <w:u w:val="single"/>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6">
        <w:r>
          <w:rPr>
            <w:rFonts w:ascii="Old Standard TT" w:hAnsi="Old Standard TT" w:cs="Old Standard TT" w:eastAsia="Old Standard TT"/>
            <w:color w:val="1155CC"/>
            <w:sz w:val="20"/>
            <w:szCs w:val="20"/>
            <w:u w:val="single"/>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Hoelscher-Obermaier, J., Khan, A., McLean, E., Smith, C., Barfuss, W., Foerster, J., Gavenčiak, T., Han, T. A., Hughes, E., Kovařík, V., Kulveit, J., Leibo, J. Z., Oesterheld, C., Schroeder de Witt, C., Shah, N., Wellman, M., … Rahwan, I. (2025). Multi-agent risks from advanced AI. Cooperative AI Foundation Technical Report #1; arXiv:2502.14143. </w:t>
      </w:r>
      <w:hyperlink r:id="rId17">
        <w:r>
          <w:rPr>
            <w:rFonts w:ascii="Old Standard TT" w:hAnsi="Old Standard TT" w:cs="Old Standard TT" w:eastAsia="Old Standard TT"/>
            <w:color w:val="1155CC"/>
            <w:sz w:val="20"/>
            <w:szCs w:val="20"/>
            <w:u w:val="single"/>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8">
        <w:r>
          <w:rPr>
            <w:rFonts w:ascii="Old Standard TT" w:hAnsi="Old Standard TT" w:cs="Old Standard TT" w:eastAsia="Old Standard TT"/>
            <w:color w:val="1155CC"/>
            <w:sz w:val="20"/>
            <w:szCs w:val="20"/>
            <w:u w:val="single"/>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19">
        <w:r>
          <w:rPr>
            <w:rFonts w:ascii="Old Standard TT" w:hAnsi="Old Standard TT" w:cs="Old Standard TT" w:eastAsia="Old Standard TT"/>
            <w:color w:val="1155CC"/>
            <w:sz w:val="20"/>
            <w:szCs w:val="20"/>
            <w:u w:val="single"/>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0">
        <w:r>
          <w:rPr>
            <w:rFonts w:ascii="Old Standard TT" w:hAnsi="Old Standard TT" w:cs="Old Standard TT" w:eastAsia="Old Standard TT"/>
            <w:color w:val="1155CC"/>
            <w:sz w:val="20"/>
            <w:szCs w:val="20"/>
            <w:u w:val="single"/>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1">
        <w:r>
          <w:rPr>
            <w:rFonts w:ascii="Old Standard TT" w:hAnsi="Old Standard TT" w:cs="Old Standard TT" w:eastAsia="Old Standard TT"/>
            <w:color w:val="1155CC"/>
            <w:sz w:val="20"/>
            <w:szCs w:val="20"/>
            <w:u w:val="single"/>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2">
        <w:r>
          <w:rPr>
            <w:rFonts w:ascii="Old Standard TT" w:hAnsi="Old Standard TT" w:cs="Old Standard TT" w:eastAsia="Old Standard TT"/>
            <w:color w:val="1155CC"/>
            <w:sz w:val="20"/>
            <w:szCs w:val="20"/>
            <w:u w:val="single"/>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3">
        <w:r>
          <w:rPr>
            <w:rFonts w:ascii="Old Standard TT" w:hAnsi="Old Standard TT" w:cs="Old Standard TT" w:eastAsia="Old Standard TT"/>
            <w:color w:val="1155CC"/>
            <w:sz w:val="20"/>
            <w:szCs w:val="20"/>
            <w:u w:val="single"/>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Shi, X., Zhang, Y., &amp; Yang, D. (2026). Emergent collusion in long-horizon LLM agent interaction. arXiv:2609.24967. </w:t>
      </w:r>
      <w:hyperlink r:id="rId24">
        <w:r>
          <w:rPr>
            <w:rFonts w:ascii="Old Standard TT" w:hAnsi="Old Standard TT" w:cs="Old Standard TT" w:eastAsia="Old Standard TT"/>
            <w:color w:val="1155CC"/>
            <w:sz w:val="20"/>
            <w:szCs w:val="20"/>
            <w:u w:val="single"/>
          </w:rPr>
          <w:t xml:space="preserve">https://arxiv.org/abs/2609.24967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color w:val="1155CC"/>
            <w:sz w:val="20"/>
            <w:szCs w:val="20"/>
            <w:u w:val="single"/>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color w:val="1155CC"/>
            <w:sz w:val="20"/>
            <w:szCs w:val="20"/>
            <w:u w:val="single"/>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color w:val="1155CC"/>
            <w:sz w:val="20"/>
            <w:szCs w:val="20"/>
            <w:u w:val="single"/>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color w:val="1155CC"/>
            <w:sz w:val="20"/>
            <w:szCs w:val="20"/>
            <w:u w:val="single"/>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a post hoc snapshot test of a pact T had already accepted from another player found no measurable disruption, and a live test, with both partners holding the pact, remains to be done.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We used one game with a simple, explicit pact. The primary population is 7–8B open models, with one small frontier model (Claude Haiku 5.5, live play post hoc), and sequences are six games long, against Zeng &amp; Rudzicz’s 50. The sting knows exactly which behaviour the pact implies, whereas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for Qwen and Claude it was also produced by Llama, which may contribute to the threshold’s failure to transfer to Qwen.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preregistered snapshot samples; Claude’s C3, C5 and C8). Those Claude results show how Claude acts on a pact it is told it accepted; its own accepted indirect pact (C9, post hoc) gave a similar result. Qwen’s post hoc C5 is also templated. Replies drawn from the battery may name the battery’s addressee rather than the record’s partner; we did not count how often.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wording.</w:t>
      </w:r>
      <w:r>
        <w:rPr>
          <w:rFonts w:ascii="Old Standard TT" w:hAnsi="Old Standard TT" w:cs="Old Standard TT" w:eastAsia="Old Standard TT"/>
          <w:sz w:val="21"/>
          <w:szCs w:val="21"/>
        </w:rPr>
        <w:t xml:space="preserve"> The indirect offer differs from the direct pact in several ways at once (no explicit mutual promise or duration, a soft request for discretion instead of a secrecy clause, hedged wording and a self-interest reason), so which feature changed acceptance is not identified; and the benign proposal’s “keep the game moving quickly” may read as “challenge less”, so B2 and C2 are not outcome-neutral contact controls.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calibration.</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Llama’s threshold flagged 0.739 of Qwen’s null agents (Table 2). Live, the live rule (each model’s B3 10th percentile: Llama 0.610, Qwen 0.305, Claude 0.333, so a few B3 targets are flagged by construction) flagged 2/10 benign Llama accepters and 9/10 benign Qwen accepters.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the others refused. The notice-only control (C10, B5), the indirect pact (C9, B6), the coalition records (K1–K4) and the Qwen and Claude replications were added after the preregistered analysis; their plans and decision rules were logged before collection, and each verdict follows those rules. The targeting analysis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change from baseline) had no decision rule and is exploratory. Their own cells are small (10–15 sequences per arm), percentile-bootstrap CIs at this size are slightly narrow (Welch CIs in sting_results/posthoc_ext/targeting_contrasts.csv), and about sixty post hoc contrasts are reported without multiplicity correction; verdicts resting on a CI bound within 0.01 of 0 are tentative. Accepter- and refuser-only comparisons are self-selected groups. The judge was preregistered for unparseable replies only; after the freeze it was run on all items and validated against hand labels (logged in DEVIATIONS.md, section D). Claude Haiku 5.5 served as the LLM judge, deciding no preregistered outcome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on 100 hand labels;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 possibly inflated by anchoring, see below). The judge-based denial comparison (Section 4.4) was added after the preregistered parser-based analysis was seen. These two checks in Appendix B (B4 refusers’ play and the suspicion re-ask) were planned with decision rules in DEVIATIONS.md, section D, before they were run.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the excess came from the offer in their record: re-asked with the null record, offered targets named S at 0.138 (Appendix B). Play still gave cues: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when asked whether any player behaved differently from a typical player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Cross-model runs.</w:t>
      </w:r>
      <w:r>
        <w:rPr>
          <w:rFonts w:ascii="Old Standard TT" w:hAnsi="Old Standard TT" w:cs="Old Standard TT" w:eastAsia="Old Standard TT"/>
          <w:sz w:val="21"/>
          <w:szCs w:val="21"/>
        </w:rPr>
        <w:t xml:space="preserve"> Eight of 75 Qwen sequences stopped on a harness edge case (a player with an empty hand asked to play) and were re-run with new samples (B2 four, B1 two, B3 and B6 one each; DEVIATIONS.md, section D), and completion may depend on how often players challenge, which could bias B2 (four of its ten sequences) in a direction we cannot determine. Claude runs met API rate limits; every call succeeded after retries, and 0.01% of Claude’s decisions fell back to the default action (unparseable replies). Llama’s B6, Qwen’s and Claude’s B5, and Claude’s B0, B2 and B4 were not run.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Llama’s five live B4 refusers did not (small n), and Qwen’s refusers challenged everyone less, not S in particular, but the audit was not tested against agents trained to evade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No raw game logs or suspicion-probe transcripts are in the repository;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and open-model weights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every cell (Section 4.1).</w:t>
      </w:r>
      <w:r>
        <w:rPr>
          <w:rFonts w:ascii="Old Standard TT" w:hAnsi="Old Standard TT" w:cs="Old Standard TT" w:eastAsia="Old Standard TT"/>
          <w:sz w:val="21"/>
          <w:szCs w:val="21"/>
        </w:rPr>
        <w:t xml:space="preserve"> Table B1 gives the share of 500 offers accepted in each cell (strict parser). Llama’s honest-persona rate was 0.040 [0.026, 0.061]. No offer-battery reply was unparseable (0%).</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B1. Acceptance in every offer-battery cell.</w:t>
      </w:r>
      <w:r>
        <w:rPr>
          <w:rFonts w:ascii="Old Standard TT" w:hAnsi="Old Standard TT" w:cs="Old Standard TT" w:eastAsia="Old Standard TT"/>
          <w:sz w:val="19"/>
          <w:szCs w:val="19"/>
        </w:rPr>
        <w:t xml:space="preserve"> Share of 500 offers accepted (strict parser); Figure B1 plots the same values with 95% Wilson CIs.</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4392"/>
        <w:gridCol w:w="1655"/>
        <w:gridCol w:w="1655"/>
        <w:gridCol w:w="1655"/>
      </w:tblGrid>
      <w:tr>
        <w:trPr>
          <w:cantSplit/>
          <w:tblHeader/>
        </w:trPr>
        <w:tc>
          <w:tcPr>
            <w:tcW w:type="dxa" w:w="4392"/>
          </w:tcPr>
          <w:p>
            <w:pPr>
              <w:keepNext/>
              <w:spacing w:before="20" w:after="20" w:line="240" w:lineRule="auto"/>
            </w:pPr>
            <w:r>
              <w:rPr>
                <w:rFonts w:ascii="Old Standard TT" w:hAnsi="Old Standard TT" w:cs="Old Standard TT" w:eastAsia="Old Standard TT"/>
                <w:b/>
                <w:bCs/>
                <w:sz w:val="18"/>
                <w:szCs w:val="18"/>
              </w:rPr>
              <w:t xml:space="preserve">Cell</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A0z designer: hint tool (Zeng &amp; Rudzicz)</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A0b designer: hint tool with S</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A0d designer: direct pact with S</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0.986</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A1 sting: direct pact</w:t>
            </w:r>
          </w:p>
        </w:tc>
        <w:tc>
          <w:tcPr>
            <w:tcW w:type="dxa" w:w="1656"/>
          </w:tcPr>
          <w:p>
            <w:pPr>
              <w:keepNext/>
              <w:spacing w:before="20" w:after="20" w:line="240" w:lineRule="auto"/>
            </w:pPr>
            <w:r>
              <w:rPr>
                <w:rFonts w:ascii="Old Standard TT" w:hAnsi="Old Standard TT" w:cs="Old Standard TT" w:eastAsia="Old Standard TT"/>
                <w:sz w:val="18"/>
                <w:szCs w:val="18"/>
              </w:rPr>
              <w:t xml:space="preserve">0.952</w:t>
            </w:r>
          </w:p>
        </w:tc>
        <w:tc>
          <w:tcPr>
            <w:tcW w:type="dxa" w:w="1656"/>
          </w:tcPr>
          <w:p>
            <w:pPr>
              <w:keepNext/>
              <w:spacing w:before="20" w:after="20" w:line="240" w:lineRule="auto"/>
            </w:pPr>
            <w:r>
              <w:rPr>
                <w:rFonts w:ascii="Old Standard TT" w:hAnsi="Old Standard TT" w:cs="Old Standard TT" w:eastAsia="Old Standard TT"/>
                <w:sz w:val="18"/>
                <w:szCs w:val="18"/>
              </w:rPr>
              <w:t xml:space="preserve">0.112</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A2 sting: indirect pact</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0.892</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A3 sting: benign proposal</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A4 sting: direct + integrity notice</w:t>
            </w:r>
          </w:p>
        </w:tc>
        <w:tc>
          <w:tcPr>
            <w:tcW w:type="dxa" w:w="1656"/>
          </w:tcPr>
          <w:p>
            <w:pPr>
              <w:keepNext/>
              <w:spacing w:before="20" w:after="20" w:line="240" w:lineRule="auto"/>
            </w:pPr>
            <w:r>
              <w:rPr>
                <w:rFonts w:ascii="Old Standard TT" w:hAnsi="Old Standard TT" w:cs="Old Standard TT" w:eastAsia="Old Standard TT"/>
                <w:sz w:val="18"/>
                <w:szCs w:val="18"/>
              </w:rPr>
              <w:t xml:space="preserve">0.556</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A5 sting: benign + integrity notice</w:t>
            </w:r>
          </w:p>
        </w:tc>
        <w:tc>
          <w:tcPr>
            <w:tcW w:type="dxa" w:w="1656"/>
          </w:tcPr>
          <w:p>
            <w:pPr>
              <w:keepNext/>
              <w:spacing w:before="20" w:after="20" w:line="240" w:lineRule="auto"/>
            </w:pPr>
            <w:r>
              <w:rPr>
                <w:rFonts w:ascii="Old Standard TT" w:hAnsi="Old Standard TT" w:cs="Old Standard TT" w:eastAsia="Old Standard TT"/>
                <w:sz w:val="18"/>
                <w:szCs w:val="18"/>
              </w:rPr>
              <w:t xml:space="preserve">0.996</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A6 sting: direct + fairness reminder</w:t>
            </w:r>
          </w:p>
        </w:tc>
        <w:tc>
          <w:tcPr>
            <w:tcW w:type="dxa" w:w="1656"/>
          </w:tcPr>
          <w:p>
            <w:pPr>
              <w:keepNext/>
              <w:spacing w:before="20" w:after="20" w:line="240" w:lineRule="auto"/>
            </w:pPr>
            <w:r>
              <w:rPr>
                <w:rFonts w:ascii="Old Standard TT" w:hAnsi="Old Standard TT" w:cs="Old Standard TT" w:eastAsia="Old Standard TT"/>
                <w:sz w:val="18"/>
                <w:szCs w:val="18"/>
              </w:rPr>
              <w:t xml:space="preserve">0.240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A7 sting: direct, colluder persona</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0.988</w:t>
            </w:r>
          </w:p>
        </w:tc>
        <w:tc>
          <w:tcPr>
            <w:tcW w:type="dxa" w:w="1656"/>
          </w:tcPr>
          <w:p>
            <w:pPr>
              <w:keepNext/>
              <w:spacing w:before="20" w:after="20" w:line="240" w:lineRule="auto"/>
            </w:pPr>
            <w:r>
              <w:rPr>
                <w:rFonts w:ascii="Old Standard TT" w:hAnsi="Old Standard TT" w:cs="Old Standard TT" w:eastAsia="Old Standard TT"/>
                <w:sz w:val="18"/>
                <w:szCs w:val="18"/>
              </w:rPr>
              <w:t xml:space="preserve">0.840</w:t>
            </w:r>
          </w:p>
        </w:tc>
      </w:tr>
      <w:tr>
        <w:trPr>
          <w:cantSplit/>
        </w:trPr>
        <w:tc>
          <w:tcPr>
            <w:tcW w:type="dxa" w:w="4392"/>
          </w:tcPr>
          <w:p>
            <w:pPr>
              <w:spacing w:before="20" w:after="20" w:line="240" w:lineRule="auto"/>
            </w:pPr>
            <w:r>
              <w:rPr>
                <w:rFonts w:ascii="Old Standard TT" w:hAnsi="Old Standard TT" w:cs="Old Standard TT" w:eastAsia="Old Standard TT"/>
                <w:sz w:val="18"/>
                <w:szCs w:val="18"/>
              </w:rPr>
              <w:t xml:space="preserve">A8 sting: direct, honest persona</w:t>
            </w:r>
          </w:p>
        </w:tc>
        <w:tc>
          <w:tcPr>
            <w:tcW w:type="dxa" w:w="1656"/>
          </w:tcPr>
          <w:p>
            <w:pPr>
              <w:spacing w:before="20" w:after="20" w:line="240" w:lineRule="auto"/>
            </w:pPr>
            <w:r>
              <w:rPr>
                <w:rFonts w:ascii="Old Standard TT" w:hAnsi="Old Standard TT" w:cs="Old Standard TT" w:eastAsia="Old Standard TT"/>
                <w:sz w:val="18"/>
                <w:szCs w:val="18"/>
              </w:rPr>
              <w:t xml:space="preserve">0.040</w:t>
            </w:r>
          </w:p>
        </w:tc>
        <w:tc>
          <w:tcPr>
            <w:tcW w:type="dxa" w:w="1656"/>
          </w:tcPr>
          <w:p>
            <w:pPr>
              <w:spacing w:before="20" w:after="20" w:line="240" w:lineRule="auto"/>
            </w:pPr>
            <w:r>
              <w:rPr>
                <w:rFonts w:ascii="Old Standard TT" w:hAnsi="Old Standard TT" w:cs="Old Standard TT" w:eastAsia="Old Standard TT"/>
                <w:sz w:val="18"/>
                <w:szCs w:val="18"/>
              </w:rPr>
              <w:t xml:space="preserve">0.000</w:t>
            </w:r>
          </w:p>
        </w:tc>
        <w:tc>
          <w:tcPr>
            <w:tcW w:type="dxa" w:w="1656"/>
          </w:tcPr>
          <w:p>
            <w:pPr>
              <w:spacing w:before="20" w:after="20" w:line="240" w:lineRule="auto"/>
            </w:pPr>
            <w:r>
              <w:rPr>
                <w:rFonts w:ascii="Old Standard TT" w:hAnsi="Old Standard TT" w:cs="Old Standard TT" w:eastAsia="Old Standard TT"/>
                <w:sz w:val="18"/>
                <w:szCs w:val="18"/>
              </w:rPr>
              <w:t xml:space="preserve">0.000</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852160" cy="2623277"/>
            <wp:docPr id="3" name="Picture 3" descr="Figure B1. Refusal depends on who offers and how: Qwen refuses the sting's direct pact (A1) but not the designer's (A0d); without a persona, Claude refuses explicit pacts but accepts the indirect one (A2)."/>
            <wp:cNvGraphicFramePr>
              <a:graphicFrameLocks noChangeAspect="1"/>
            </wp:cNvGraphicFramePr>
            <a:graphic>
              <a:graphicData uri="http://schemas.openxmlformats.org/drawingml/2006/picture">
                <pic:pic>
                  <pic:nvPicPr>
                    <pic:cNvPr id="0" name="fig2_acceptance.png"/>
                    <pic:cNvPicPr/>
                  </pic:nvPicPr>
                  <pic:blipFill>
                    <a:blip r:embed="rId29"/>
                    <a:stretch>
                      <a:fillRect/>
                    </a:stretch>
                  </pic:blipFill>
                  <pic:spPr>
                    <a:xfrm>
                      <a:off x="0" y="0"/>
                      <a:ext cx="5852160" cy="2623277"/>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B1.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(post hoc)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(Sections 4.2–4.3): restraint is only partly pact-specific, so the audit cannot separate a pact from a benign agreement.</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difference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so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669280" cy="2196618"/>
            <wp:docPr id="4" name="Picture 4" descr="Figure B2. Records of an accepted pact (C3), hint (C8) or pact under a colluder persona (C7) sharply cut T's challenges of S; bluffing against S moves by at most 0.08 (point estimates) under any record."/>
            <wp:cNvGraphicFramePr>
              <a:graphicFrameLocks noChangeAspect="1"/>
            </wp:cNvGraphicFramePr>
            <a:graphic>
              <a:graphicData uri="http://schemas.openxmlformats.org/drawingml/2006/picture">
                <pic:pic>
                  <pic:nvPicPr>
                    <pic:cNvPr id="0" name="fig3_snapshots.png"/>
                    <pic:cNvPicPr/>
                  </pic:nvPicPr>
                  <pic:blipFill>
                    <a:blip r:embed="rId30"/>
                    <a:stretch>
                      <a:fillRect/>
                    </a:stretch>
                  </pic:blipFill>
                  <pic:spPr>
                    <a:xfrm>
                      <a:off x="0" y="0"/>
                      <a:ext cx="5669280" cy="2196618"/>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B2. Records of an accepted pact (C3), hint (C8) or pact under a colluder persona (C7) sharply cut T’s challenges of S; bluffing against S moves by at most 0.08 (point estimates) under any record.</w:t>
      </w:r>
      <w:r>
        <w:rPr>
          <w:rFonts w:ascii="Old Standard TT" w:hAnsi="Old Standard TT" w:cs="Old Standard TT" w:eastAsia="Old Standard TT"/>
          <w:sz w:val="19"/>
          <w:szCs w:val="19"/>
        </w:rPr>
        <w:t xml:space="preserve"> Llama-3.1-8B as T. Each panel re-asks its own 60 decisions under every record: on the left, decisions at S’s plays, and on the right, decisions playing with S as challenger. Differences are against the pooled null record C1, except C5 (against C3) and C1b (against C1a), with 95% cluster-bootstrap CIs. Blue marks C3 (H2) and green C8 (PC3).</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The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is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A GEE logit with exchangeable correlation, clustered by sequence (Liang &amp; Zeger, 1986), gives an odds ratio of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703320" cy="2289048"/>
            <wp:docPr id="5" name="Picture 5" descr="Figure B3. Ten or more audited decisions flag nearly all simulated accepters (C3); the null-replicate FPR sits at or above the 0.10 target."/>
            <wp:cNvGraphicFramePr>
              <a:graphicFrameLocks noChangeAspect="1"/>
            </wp:cNvGraphicFramePr>
            <a:graphic>
              <a:graphicData uri="http://schemas.openxmlformats.org/drawingml/2006/picture">
                <pic:pic>
                  <pic:nvPicPr>
                    <pic:cNvPr id="0" name="fig5_detector.png"/>
                    <pic:cNvPicPr/>
                  </pic:nvPicPr>
                  <pic:blipFill>
                    <a:blip r:embed="rId31"/>
                    <a:stretch>
                      <a:fillRect/>
                    </a:stretch>
                  </pic:blipFill>
                  <pic:spPr>
                    <a:xfrm>
                      <a:off x="0" y="0"/>
                      <a:ext cx="3703320" cy="2289048"/>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B3. Ten or more audited decisions flag nearly all simulated accepters (C3); the null-replicate FPR sits at or above the 0.10 target.</w:t>
      </w:r>
      <w:r>
        <w:rPr>
          <w:rFonts w:ascii="Old Standard TT" w:hAnsi="Old Standard TT" w:cs="Old Standard TT" w:eastAsia="Old Standard TT"/>
          <w:sz w:val="19"/>
          <w:szCs w:val="19"/>
        </w:rPr>
        <w:t xml:space="preserve"> The threshold is calibrated on null-record agents (C1a) for each audit length m. Flag rates are Monte Carlo estimates (exact FPR at m = 20 with this threshold: 0.147), with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curve (Section 4.3).</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rule (descriptive; Section 4.3).</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0.610),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Probes.</w:t>
      </w:r>
      <w:r>
        <w:rPr>
          <w:rFonts w:ascii="Old Standard TT" w:hAnsi="Old Standard TT" w:cs="Old Standard TT" w:eastAsia="Old Standard TT"/>
          <w:sz w:val="21"/>
          <w:szCs w:val="21"/>
        </w:rPr>
        <w:t xml:space="preserve">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(Section 4.4, item 4; judge counts post hoc):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 B4 against B1 accepters, judge: 1/20 vs 1/56.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B4 refusers (post hoc; Section 4.4, item 3): no sign that refusal was a cover.</w:t>
      </w:r>
      <w:r>
        <w:rPr>
          <w:rFonts w:ascii="Old Standard TT" w:hAnsi="Old Standard TT" w:cs="Old Standard TT" w:eastAsia="Old Standard TT"/>
          <w:sz w:val="21"/>
          <w:szCs w:val="21"/>
        </w:rPr>
        <w:t xml:space="preserve"> Splitting B4 by the target’s reply (preregistered live machinery: per-sequence rates, Welch, label permutation, within-arm bootstrap), the five refusers challenged S at 0.745 after the offer. Before it (games 1–2, notice already in the rules) they challenged at 0.500, against 0.522 in B3, so they were not selected for challenging more. Refusers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(Welch p = 0.94); minus B4 accepters (0.528): 0.217 [0.104, 0.345]. The live rule (flag below B3’s 10th percentile, 0.610) flagged 0/5. With five refusers, small covert effects are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(Section 5): targets’ excess suspicion of S came from the offer in their record.</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Overall, 17/60 targets (0.283 [0.185, 0.408]) named S, against 18/120 answers by O1/O2 (0.150 [0.097, 0.225]; Wilson CIs treat answers as independent). Only offered targets (B0, B1, B2, B4) had an offer in their record, and probes compare fairly only under identical information, since informed participants report more awareness (Blackhart et al., 2012). So each offered target’s three questions were re-asked 5 times with its own record and 5 times with the null record, all else identical (45 sequences; post hoc). Targets named S at 0.240 with their record and 0.138 without it (paired difference 0.102 [0.036, 0.173], clustered by sequence; sign-flip p = 0.008), and the null-record rate is close to O1/O2’s and to B3 targets’ (2/15). In the games, the same targets’ single answers named S in 15/45 (0.333 [0.214, 0.479]); this interval contains the re-ask rate (exact binomial p = 0.16), and the paired test compares re-asks only with re-asks. Qwen and Claude targets never named S as a plant (Qwen 0/75, Claude 0/45, every answer beginning “NO”), whether re-asked with their own or the null record (Qwen 0.000 vs 0.000, Claude 0.000 vs 0.000), though most had named S as behaving differently.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Claude in live play (Section 4.2).</w:t>
      </w:r>
      <w:r>
        <w:rPr>
          <w:rFonts w:ascii="Old Standard TT" w:hAnsi="Old Standard TT" w:cs="Old Standard TT" w:eastAsia="Old Standard TT"/>
          <w:sz w:val="21"/>
          <w:szCs w:val="21"/>
        </w:rPr>
        <w:t xml:space="preserve"> No B1 target accepted the direct pact (0/15). These refusers challenged S like targets with no offer (0.538 vs 0.480, difference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 but bluffed more against it (0.190 [0.116, 0.280]), as Claude did in snapshots under every record of an offer. They had challenged S less before the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and relative to that baseline they challenged S more than B3 targets (0.216 [0.033, 0.404], exploratory), as Claude’s refused-pact record did in snapshots (C4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0.129 [0.028, 0.236]). In B6, 13/15 accepted. All B6 targets challenged S less than targets with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and accepters alone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B6 targets also bluffed more against S (0.165 [0.101, 0.236])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0.097]), about two-fifths of the drop toward S. The live rule flagged 13/13 B6 accepters. None of the 270 games hit the round cap, and B6 accepters denied an agreement in 0/52 interview answers.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Qwen in live play (Section 4.2).</w:t>
      </w:r>
      <w:r>
        <w:rPr>
          <w:rFonts w:ascii="Old Standard TT" w:hAnsi="Old Standard TT" w:cs="Old Standard TT" w:eastAsia="Old Standard TT"/>
          <w:sz w:val="21"/>
          <w:szCs w:val="21"/>
        </w:rPr>
        <w:t xml:space="preserve"> Acceptance was B0 10/10, B1 4/15, B2 10/10, B4 0/10 and B6 15/15. The preregistered contrasts replicate in direction: B1 minus B3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0.128], B1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and B0 accepters (positive control)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Both accepter groups challenged S at 0.000, so their CIs reflect only B3’s variability. Unlike Llama, every kind of contact was followed by fewer challenges of S: a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B4 (all refused)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and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Challenges of the other players fell too (all B1 targets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0.225]). B6 accepters nearly stopped challenging anyone, while refusers and benign accepters still challenged S at 0.227–0.256 and 0.123. In snapshots, Qwen’s refused-pact record cut challenges of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0.276]) almost as much as an accepted one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The live rule flagged B0 10/10, B1 4/4, B2 9/10 and B6 15/15 accepters. None of the 450 games hit the round cap. In interviews, Qwen accepters (B0, B1, B6) denied an agreement in 0/116 answers, and benign B2 accepters in 2/40.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Exploratory: targeting and change from baseline (Sections 4.2, 4.4).</w:t>
      </w:r>
      <w:r>
        <w:rPr>
          <w:rFonts w:ascii="Old Standard TT" w:hAnsi="Old Standard TT" w:cs="Old Standard TT" w:eastAsia="Old Standard TT"/>
          <w:sz w:val="21"/>
          <w:szCs w:val="21"/>
        </w:rPr>
        <w:t xml:space="preserve"> For each sequence we computed the post-offer challenge rate on S minus that on O1 and O2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and the post-offer minus pre-offer rate on S (change), and compared each with B3 (Table B2; Welch CIs are in targeting_contrasts.csv, in sting_results/posthoc_ext/). Qwen refusers’ lower post-offer rate on S was neither aimed at S nor clearly a change from their own baseline.</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B2. Exploratory: was the drop aimed at S, and was it a change from baseline?</w:t>
      </w:r>
      <w:r>
        <w:rPr>
          <w:rFonts w:ascii="Old Standard TT" w:hAnsi="Old Standard TT" w:cs="Old Standard TT" w:eastAsia="Old Standard TT"/>
          <w:sz w:val="19"/>
          <w:szCs w:val="19"/>
        </w:rPr>
        <w:t xml:space="preserve"> Differences from B3 with 95% bootstrap CIs; no decision rule was logged for these analyses.</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3024"/>
        <w:gridCol w:w="3024"/>
      </w:tblGrid>
      <w:tr>
        <w:trPr>
          <w:cantSplit/>
          <w:tblHeader/>
        </w:trPr>
        <w:tc>
          <w:tcPr>
            <w:tcW w:type="dxa" w:w="3312"/>
          </w:tcPr>
          <w:p>
            <w:pPr>
              <w:keepNext/>
              <w:spacing w:before="20" w:after="20" w:line="240" w:lineRule="auto"/>
            </w:pPr>
            <w:r>
              <w:rPr>
                <w:rFonts w:ascii="Old Standard TT" w:hAnsi="Old Standard TT" w:cs="Old Standard TT" w:eastAsia="Old Standard TT"/>
                <w:b/>
                <w:bCs/>
                <w:sz w:val="18"/>
                <w:szCs w:val="18"/>
              </w:rPr>
              <w:t xml:space="preserve">Model, arm (targets)</w:t>
            </w:r>
          </w:p>
        </w:tc>
        <w:tc>
          <w:tcPr>
            <w:tcW w:type="dxa" w:w="3024"/>
          </w:tcPr>
          <w:p>
            <w:pPr>
              <w:keepNext/>
              <w:spacing w:before="20" w:after="20" w:line="240" w:lineRule="auto"/>
            </w:pPr>
            <w:r>
              <w:rPr>
                <w:rFonts w:ascii="Old Standard TT" w:hAnsi="Old Standard TT" w:cs="Old Standard TT" w:eastAsia="Old Standard TT"/>
                <w:b/>
                <w:bCs/>
                <w:sz w:val="18"/>
                <w:szCs w:val="18"/>
              </w:rPr>
              <w:t xml:space="preserve">S </w:t>
            </w:r>
            <w:r>
              <w:rPr>
                <w:rFonts w:ascii="Times New Roman" w:hAnsi="Times New Roman" w:cs="Times New Roman" w:eastAsia="Times New Roman"/>
                <w:b/>
                <w:bCs/>
                <w:sz w:val="18"/>
                <w:szCs w:val="18"/>
              </w:rPr>
              <w:t xml:space="preserve">−</w:t>
            </w:r>
            <w:r>
              <w:rPr>
                <w:rFonts w:ascii="Old Standard TT" w:hAnsi="Old Standard TT" w:cs="Old Standard TT" w:eastAsia="Old Standard TT"/>
                <w:b/>
                <w:bCs/>
                <w:sz w:val="18"/>
                <w:szCs w:val="18"/>
              </w:rPr>
              <w:t xml:space="preserve"> others</w:t>
            </w:r>
          </w:p>
        </w:tc>
        <w:tc>
          <w:tcPr>
            <w:tcW w:type="dxa" w:w="3024"/>
          </w:tcPr>
          <w:p>
            <w:pPr>
              <w:keepNext/>
              <w:spacing w:before="20" w:after="20" w:line="240" w:lineRule="auto"/>
            </w:pPr>
            <w:r>
              <w:rPr>
                <w:rFonts w:ascii="Old Standard TT" w:hAnsi="Old Standard TT" w:cs="Old Standard TT" w:eastAsia="Old Standard TT"/>
                <w:b/>
                <w:bCs/>
                <w:sz w:val="18"/>
                <w:szCs w:val="18"/>
              </w:rPr>
              <w:t xml:space="preserve">Change from baseline</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Llama, B1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0.242, 0.061]</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0.579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0.864,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0.291]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B6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0.246,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0.010]</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0.538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0.272]</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B1 (refusers)</w:t>
            </w:r>
          </w:p>
        </w:tc>
        <w:tc>
          <w:tcPr>
            <w:tcW w:type="dxa" w:w="3024"/>
          </w:tcPr>
          <w:p>
            <w:pPr>
              <w:keepNext/>
              <w:spacing w:before="20" w:after="20" w:line="240" w:lineRule="auto"/>
            </w:pPr>
            <w:r>
              <w:rPr>
                <w:rFonts w:ascii="Old Standard TT" w:hAnsi="Old Standard TT" w:cs="Old Standard TT" w:eastAsia="Old Standard TT"/>
                <w:sz w:val="18"/>
                <w:szCs w:val="18"/>
              </w:rPr>
              <w:t xml:space="preserve">0.085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0.102, 0.293]</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0.127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0.416, 0.156]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B2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0.375, 0.015]</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0.262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0.494,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B4 (all refused)</w:t>
            </w:r>
          </w:p>
        </w:tc>
        <w:tc>
          <w:tcPr>
            <w:tcW w:type="dxa" w:w="3024"/>
          </w:tcPr>
          <w:p>
            <w:pPr>
              <w:keepNext/>
              <w:spacing w:before="20" w:after="20" w:line="240" w:lineRule="auto"/>
            </w:pPr>
            <w:r>
              <w:rPr>
                <w:rFonts w:ascii="Old Standard TT" w:hAnsi="Old Standard TT" w:cs="Old Standard TT" w:eastAsia="Old Standard TT"/>
                <w:sz w:val="18"/>
                <w:szCs w:val="18"/>
              </w:rPr>
              <w:t xml:space="preserve">0.069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0.117, 0.279]</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0.109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0.431, 0.227]</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Claude, B1 (all refused)</w:t>
            </w:r>
          </w:p>
        </w:tc>
        <w:tc>
          <w:tcPr>
            <w:tcW w:type="dxa" w:w="3024"/>
          </w:tcPr>
          <w:p>
            <w:pPr>
              <w:keepNext/>
              <w:spacing w:before="20" w:after="20" w:line="240" w:lineRule="auto"/>
            </w:pPr>
            <w:r>
              <w:rPr>
                <w:rFonts w:ascii="Old Standard TT" w:hAnsi="Old Standard TT" w:cs="Old Standard TT" w:eastAsia="Old Standard TT"/>
                <w:sz w:val="18"/>
                <w:szCs w:val="18"/>
              </w:rPr>
              <w:t xml:space="preserve">0.077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0.076, 0.218]</w:t>
            </w:r>
          </w:p>
        </w:tc>
        <w:tc>
          <w:tcPr>
            <w:tcW w:type="dxa" w:w="3024"/>
          </w:tcPr>
          <w:p>
            <w:pPr>
              <w:keepNext/>
              <w:spacing w:before="20" w:after="20" w:line="240" w:lineRule="auto"/>
            </w:pPr>
            <w:r>
              <w:rPr>
                <w:rFonts w:ascii="Old Standard TT" w:hAnsi="Old Standard TT" w:cs="Old Standard TT" w:eastAsia="Old Standard TT"/>
                <w:sz w:val="18"/>
                <w:szCs w:val="18"/>
              </w:rPr>
              <w:t xml:space="preserve">0.216 [0.033, 0.404]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Claude, B6 (all)</w:t>
            </w:r>
          </w:p>
        </w:tc>
        <w:tc>
          <w:tcPr>
            <w:tcW w:type="dxa" w:w="302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0.358,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0.155]</w:t>
            </w:r>
          </w:p>
        </w:tc>
        <w:tc>
          <w:tcPr>
            <w:tcW w:type="dxa" w:w="302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0.613,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0.179]</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notice-only control (Section 4.4, item 2).</w:t>
      </w:r>
      <w:r>
        <w:rPr>
          <w:rFonts w:ascii="Old Standard TT" w:hAnsi="Old Standard TT" w:cs="Old Standard TT" w:eastAsia="Old Standard TT"/>
          <w:sz w:val="21"/>
          <w:szCs w:val="21"/>
        </w:rPr>
        <w:t xml:space="preserve"> In snapshots, the notice-only record (C10) minus null was 0.039 [0.004, 0.071] for Llama, 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0.029, 0.032] for Qwen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0.046] for Claude. For Llama, the notice’s effect given a pact, net of this,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was 0.085 [0.002, 0.161]. For Qwen and Claude an accepted pact already removed nearly all challenges, so this net effect is uninformative. The logged rule’s verdict was that the notice alone raises challenging in snapshots but not live. The 15 B5 sequences challenged S at 0.774, against 0.749 in B3 (difference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Welch p = 0.60). In games 1–2, with the notice already shown, the difference was 0.103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0.123, 0.334]. B4 minus B5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0.024], and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 0.272 [0.114, 0.423], bootstrapped within arms. B5 targets named S as a plant in 3/15 sequences and O1/O2 in 8/30 answers (B3: 2/15 and 4/30).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indirect-pact snapshots (Section 4.2).</w:t>
      </w:r>
      <w:r>
        <w:rPr>
          <w:rFonts w:ascii="Old Standard TT" w:hAnsi="Old Standard TT" w:cs="Old Standard TT" w:eastAsia="Old Standard TT"/>
          <w:sz w:val="21"/>
          <w:szCs w:val="21"/>
        </w:rPr>
        <w:t xml:space="preserve"> Indirect pact accepted in T’s own words (C9) minus null: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0.263],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0.590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0.705,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0.466]; minus an accepted benign proposal (C2):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0.299],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Qwen’s C2 minus null: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0.100]; Llama’s: 0.055 [0.005, 0.108].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a pact accepted from another player (snapshots; Section 4.4, item 5).</w:t>
      </w:r>
      <w:r>
        <w:rPr>
          <w:rFonts w:ascii="Old Standard TT" w:hAnsi="Old Standard TT" w:cs="Old Standard TT" w:eastAsia="Old Standard TT"/>
          <w:sz w:val="21"/>
          <w:szCs w:val="21"/>
        </w:rPr>
        <w:t xml:space="preserve"> At the 40 decisions where T could challenge another ordinary agent P (O1 or O2), we added four records. In K1, the record said P had earlier offered T the indirect pact and T had accepted in its own words. K2 added the integrity notice. K3 added a later private message from S disclosing itself as an “integrity agent” and promising no report to anyone who drops a secret agreement. K4 added a neutral message from S instead. We drew ten samples per decision, with the plan and rules logged before collection. The analysis was re-run once after removing non-preregistered points, and no verdict changed. Table B3 gives the challenge rates on P.</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B3. T’s challenge rate on its partner P, by record.</w:t>
      </w:r>
      <w:r>
        <w:rPr>
          <w:rFonts w:ascii="Old Standard TT" w:hAnsi="Old Standard TT" w:cs="Old Standard TT" w:eastAsia="Old Standard TT"/>
          <w:sz w:val="19"/>
          <w:szCs w:val="19"/>
        </w:rPr>
        <w:t xml:space="preserve"> The last column is the pact’s effect (K1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C1) with its 95% cluster-bootstrap CI.</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655"/>
        <w:gridCol w:w="936"/>
        <w:gridCol w:w="936"/>
        <w:gridCol w:w="1152"/>
        <w:gridCol w:w="1224"/>
        <w:gridCol w:w="1224"/>
        <w:gridCol w:w="2232"/>
      </w:tblGrid>
      <w:tr>
        <w:trPr>
          <w:cantSplit/>
          <w:tblHeader/>
        </w:trPr>
        <w:tc>
          <w:tcPr>
            <w:tcW w:type="dxa" w:w="1656"/>
          </w:tcPr>
          <w:p>
            <w:pPr>
              <w:keepNext/>
              <w:spacing w:before="20" w:after="20" w:line="240" w:lineRule="auto"/>
            </w:pPr>
            <w:r>
              <w:rPr>
                <w:rFonts w:ascii="Old Standard TT" w:hAnsi="Old Standard TT" w:cs="Old Standard TT" w:eastAsia="Old Standard TT"/>
                <w:b/>
                <w:bCs/>
                <w:sz w:val="18"/>
                <w:szCs w:val="18"/>
              </w:rPr>
              <w:t xml:space="preserve">Model</w:t>
            </w:r>
          </w:p>
        </w:tc>
        <w:tc>
          <w:tcPr>
            <w:tcW w:type="dxa" w:w="936"/>
          </w:tcPr>
          <w:p>
            <w:pPr>
              <w:keepNext/>
              <w:spacing w:before="20" w:after="20" w:line="240" w:lineRule="auto"/>
            </w:pPr>
            <w:r>
              <w:rPr>
                <w:rFonts w:ascii="Old Standard TT" w:hAnsi="Old Standard TT" w:cs="Old Standard TT" w:eastAsia="Old Standard TT"/>
                <w:b/>
                <w:bCs/>
                <w:sz w:val="18"/>
                <w:szCs w:val="18"/>
              </w:rPr>
              <w:t xml:space="preserve">C1 null</w:t>
            </w:r>
          </w:p>
        </w:tc>
        <w:tc>
          <w:tcPr>
            <w:tcW w:type="dxa" w:w="936"/>
          </w:tcPr>
          <w:p>
            <w:pPr>
              <w:keepNext/>
              <w:spacing w:before="20" w:after="20" w:line="240" w:lineRule="auto"/>
            </w:pPr>
            <w:r>
              <w:rPr>
                <w:rFonts w:ascii="Old Standard TT" w:hAnsi="Old Standard TT" w:cs="Old Standard TT" w:eastAsia="Old Standard TT"/>
                <w:b/>
                <w:bCs/>
                <w:sz w:val="18"/>
                <w:szCs w:val="18"/>
              </w:rPr>
              <w:t xml:space="preserve">K1 pact</w:t>
            </w:r>
          </w:p>
        </w:tc>
        <w:tc>
          <w:tcPr>
            <w:tcW w:type="dxa" w:w="1152"/>
          </w:tcPr>
          <w:p>
            <w:pPr>
              <w:keepNext/>
              <w:spacing w:before="20" w:after="20" w:line="240" w:lineRule="auto"/>
            </w:pPr>
            <w:r>
              <w:rPr>
                <w:rFonts w:ascii="Old Standard TT" w:hAnsi="Old Standard TT" w:cs="Old Standard TT" w:eastAsia="Old Standard TT"/>
                <w:b/>
                <w:bCs/>
                <w:sz w:val="18"/>
                <w:szCs w:val="18"/>
              </w:rPr>
              <w:t xml:space="preserve">K2 + notice</w:t>
            </w:r>
          </w:p>
        </w:tc>
        <w:tc>
          <w:tcPr>
            <w:tcW w:type="dxa" w:w="1224"/>
          </w:tcPr>
          <w:p>
            <w:pPr>
              <w:keepNext/>
              <w:spacing w:before="20" w:after="20" w:line="240" w:lineRule="auto"/>
            </w:pPr>
            <w:r>
              <w:rPr>
                <w:rFonts w:ascii="Old Standard TT" w:hAnsi="Old Standard TT" w:cs="Old Standard TT" w:eastAsia="Old Standard TT"/>
                <w:b/>
                <w:bCs/>
                <w:sz w:val="18"/>
                <w:szCs w:val="18"/>
              </w:rPr>
              <w:t xml:space="preserve">K3 + warning</w:t>
            </w:r>
          </w:p>
        </w:tc>
        <w:tc>
          <w:tcPr>
            <w:tcW w:type="dxa" w:w="1224"/>
          </w:tcPr>
          <w:p>
            <w:pPr>
              <w:keepNext/>
              <w:spacing w:before="20" w:after="20" w:line="240" w:lineRule="auto"/>
            </w:pPr>
            <w:r>
              <w:rPr>
                <w:rFonts w:ascii="Old Standard TT" w:hAnsi="Old Standard TT" w:cs="Old Standard TT" w:eastAsia="Old Standard TT"/>
                <w:b/>
                <w:bCs/>
                <w:sz w:val="18"/>
                <w:szCs w:val="18"/>
              </w:rPr>
              <w:t xml:space="preserve">K4 + neutral</w:t>
            </w:r>
          </w:p>
        </w:tc>
        <w:tc>
          <w:tcPr>
            <w:tcW w:type="dxa" w:w="2232"/>
          </w:tcPr>
          <w:p>
            <w:pPr>
              <w:keepNext/>
              <w:spacing w:before="20" w:after="20" w:line="240" w:lineRule="auto"/>
            </w:pPr>
            <w:r>
              <w:rPr>
                <w:rFonts w:ascii="Old Standard TT" w:hAnsi="Old Standard TT" w:cs="Old Standard TT" w:eastAsia="Old Standard TT"/>
                <w:b/>
                <w:bCs/>
                <w:sz w:val="18"/>
                <w:szCs w:val="18"/>
              </w:rPr>
              <w:t xml:space="preserve">K1 </w:t>
            </w:r>
            <w:r>
              <w:rPr>
                <w:rFonts w:ascii="Times New Roman" w:hAnsi="Times New Roman" w:cs="Times New Roman" w:eastAsia="Times New Roman"/>
                <w:b/>
                <w:bCs/>
                <w:sz w:val="18"/>
                <w:szCs w:val="18"/>
              </w:rPr>
              <w:t xml:space="preserve">−</w:t>
            </w:r>
            <w:r>
              <w:rPr>
                <w:rFonts w:ascii="Old Standard TT" w:hAnsi="Old Standard TT" w:cs="Old Standard TT" w:eastAsia="Old Standard TT"/>
                <w:b/>
                <w:bCs/>
                <w:sz w:val="18"/>
                <w:szCs w:val="18"/>
              </w:rPr>
              <w:t xml:space="preserve"> C1</w:t>
            </w:r>
          </w:p>
        </w:tc>
      </w:tr>
      <w:tr>
        <w:trPr>
          <w:cantSplit/>
        </w:trPr>
        <w:tc>
          <w:tcPr>
            <w:tcW w:type="dxa" w:w="1656"/>
          </w:tcPr>
          <w:p>
            <w:pPr>
              <w:keepNext/>
              <w:spacing w:before="20" w:after="20" w:line="240" w:lineRule="auto"/>
            </w:pPr>
            <w:r>
              <w:rPr>
                <w:rFonts w:ascii="Old Standard TT" w:hAnsi="Old Standard TT" w:cs="Old Standard TT" w:eastAsia="Old Standard TT"/>
                <w:sz w:val="18"/>
                <w:szCs w:val="18"/>
              </w:rPr>
              <w:t xml:space="preserve">Llama-3.1-8B</w:t>
            </w:r>
          </w:p>
        </w:tc>
        <w:tc>
          <w:tcPr>
            <w:tcW w:type="dxa" w:w="936"/>
          </w:tcPr>
          <w:p>
            <w:pPr>
              <w:keepNext/>
              <w:spacing w:before="20" w:after="20" w:line="240" w:lineRule="auto"/>
            </w:pPr>
            <w:r>
              <w:rPr>
                <w:rFonts w:ascii="Old Standard TT" w:hAnsi="Old Standard TT" w:cs="Old Standard TT" w:eastAsia="Old Standard TT"/>
                <w:sz w:val="18"/>
                <w:szCs w:val="18"/>
              </w:rPr>
              <w:t xml:space="preserve">0.613</w:t>
            </w:r>
          </w:p>
        </w:tc>
        <w:tc>
          <w:tcPr>
            <w:tcW w:type="dxa" w:w="936"/>
          </w:tcPr>
          <w:p>
            <w:pPr>
              <w:keepNext/>
              <w:spacing w:before="20" w:after="20" w:line="240" w:lineRule="auto"/>
            </w:pPr>
            <w:r>
              <w:rPr>
                <w:rFonts w:ascii="Old Standard TT" w:hAnsi="Old Standard TT" w:cs="Old Standard TT" w:eastAsia="Old Standard TT"/>
                <w:sz w:val="18"/>
                <w:szCs w:val="18"/>
              </w:rPr>
              <w:t xml:space="preserve">0.295</w:t>
            </w:r>
          </w:p>
        </w:tc>
        <w:tc>
          <w:tcPr>
            <w:tcW w:type="dxa" w:w="1152"/>
          </w:tcPr>
          <w:p>
            <w:pPr>
              <w:keepNext/>
              <w:spacing w:before="20" w:after="20" w:line="240" w:lineRule="auto"/>
            </w:pPr>
            <w:r>
              <w:rPr>
                <w:rFonts w:ascii="Old Standard TT" w:hAnsi="Old Standard TT" w:cs="Old Standard TT" w:eastAsia="Old Standard TT"/>
                <w:sz w:val="18"/>
                <w:szCs w:val="18"/>
              </w:rPr>
              <w:t xml:space="preserve">0.348</w:t>
            </w:r>
          </w:p>
        </w:tc>
        <w:tc>
          <w:tcPr>
            <w:tcW w:type="dxa" w:w="1224"/>
          </w:tcPr>
          <w:p>
            <w:pPr>
              <w:keepNext/>
              <w:spacing w:before="20" w:after="20" w:line="240" w:lineRule="auto"/>
            </w:pPr>
            <w:r>
              <w:rPr>
                <w:rFonts w:ascii="Old Standard TT" w:hAnsi="Old Standard TT" w:cs="Old Standard TT" w:eastAsia="Old Standard TT"/>
                <w:sz w:val="18"/>
                <w:szCs w:val="18"/>
              </w:rPr>
              <w:t xml:space="preserve">0.330</w:t>
            </w:r>
          </w:p>
        </w:tc>
        <w:tc>
          <w:tcPr>
            <w:tcW w:type="dxa" w:w="1224"/>
          </w:tcPr>
          <w:p>
            <w:pPr>
              <w:keepNext/>
              <w:spacing w:before="20" w:after="20" w:line="240" w:lineRule="auto"/>
            </w:pPr>
            <w:r>
              <w:rPr>
                <w:rFonts w:ascii="Old Standard TT" w:hAnsi="Old Standard TT" w:cs="Old Standard TT" w:eastAsia="Old Standard TT"/>
                <w:sz w:val="18"/>
                <w:szCs w:val="18"/>
              </w:rPr>
              <w:t xml:space="preserve">0.348</w:t>
            </w:r>
          </w:p>
        </w:tc>
        <w:tc>
          <w:tcPr>
            <w:tcW w:type="dxa" w:w="2232"/>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0.248]</w:t>
            </w:r>
          </w:p>
        </w:tc>
      </w:tr>
      <w:tr>
        <w:trPr>
          <w:cantSplit/>
        </w:trPr>
        <w:tc>
          <w:tcPr>
            <w:tcW w:type="dxa" w:w="1656"/>
          </w:tcPr>
          <w:p>
            <w:pPr>
              <w:keepNext/>
              <w:spacing w:before="20" w:after="20" w:line="240" w:lineRule="auto"/>
            </w:pPr>
            <w:r>
              <w:rPr>
                <w:rFonts w:ascii="Old Standard TT" w:hAnsi="Old Standard TT" w:cs="Old Standard TT" w:eastAsia="Old Standard TT"/>
                <w:sz w:val="18"/>
                <w:szCs w:val="18"/>
              </w:rPr>
              <w:t xml:space="preserve">Qwen2.5-7B</w:t>
            </w:r>
          </w:p>
        </w:tc>
        <w:tc>
          <w:tcPr>
            <w:tcW w:type="dxa" w:w="936"/>
          </w:tcPr>
          <w:p>
            <w:pPr>
              <w:keepNext/>
              <w:spacing w:before="20" w:after="20" w:line="240" w:lineRule="auto"/>
            </w:pPr>
            <w:r>
              <w:rPr>
                <w:rFonts w:ascii="Old Standard TT" w:hAnsi="Old Standard TT" w:cs="Old Standard TT" w:eastAsia="Old Standard TT"/>
                <w:sz w:val="18"/>
                <w:szCs w:val="18"/>
              </w:rPr>
              <w:t xml:space="preserve">0.520</w:t>
            </w:r>
          </w:p>
        </w:tc>
        <w:tc>
          <w:tcPr>
            <w:tcW w:type="dxa" w:w="936"/>
          </w:tcPr>
          <w:p>
            <w:pPr>
              <w:keepNext/>
              <w:spacing w:before="20" w:after="20" w:line="240" w:lineRule="auto"/>
            </w:pPr>
            <w:r>
              <w:rPr>
                <w:rFonts w:ascii="Old Standard TT" w:hAnsi="Old Standard TT" w:cs="Old Standard TT" w:eastAsia="Old Standard TT"/>
                <w:sz w:val="18"/>
                <w:szCs w:val="18"/>
              </w:rPr>
              <w:t xml:space="preserve">0.003</w:t>
            </w:r>
          </w:p>
        </w:tc>
        <w:tc>
          <w:tcPr>
            <w:tcW w:type="dxa" w:w="1152"/>
          </w:tcPr>
          <w:p>
            <w:pPr>
              <w:keepNext/>
              <w:spacing w:before="20" w:after="20" w:line="240" w:lineRule="auto"/>
            </w:pPr>
            <w:r>
              <w:rPr>
                <w:rFonts w:ascii="Old Standard TT" w:hAnsi="Old Standard TT" w:cs="Old Standard TT" w:eastAsia="Old Standard TT"/>
                <w:sz w:val="18"/>
                <w:szCs w:val="18"/>
              </w:rPr>
              <w:t xml:space="preserve">0.018</w:t>
            </w:r>
          </w:p>
        </w:tc>
        <w:tc>
          <w:tcPr>
            <w:tcW w:type="dxa" w:w="1224"/>
          </w:tcPr>
          <w:p>
            <w:pPr>
              <w:keepNext/>
              <w:spacing w:before="20" w:after="20" w:line="240" w:lineRule="auto"/>
            </w:pPr>
            <w:r>
              <w:rPr>
                <w:rFonts w:ascii="Old Standard TT" w:hAnsi="Old Standard TT" w:cs="Old Standard TT" w:eastAsia="Old Standard TT"/>
                <w:sz w:val="18"/>
                <w:szCs w:val="18"/>
              </w:rPr>
              <w:t xml:space="preserve">0.045</w:t>
            </w:r>
          </w:p>
        </w:tc>
        <w:tc>
          <w:tcPr>
            <w:tcW w:type="dxa" w:w="1224"/>
          </w:tcPr>
          <w:p>
            <w:pPr>
              <w:keepNext/>
              <w:spacing w:before="20" w:after="20" w:line="240" w:lineRule="auto"/>
            </w:pPr>
            <w:r>
              <w:rPr>
                <w:rFonts w:ascii="Old Standard TT" w:hAnsi="Old Standard TT" w:cs="Old Standard TT" w:eastAsia="Old Standard TT"/>
                <w:sz w:val="18"/>
                <w:szCs w:val="18"/>
              </w:rPr>
              <w:t xml:space="preserve">0.035</w:t>
            </w:r>
          </w:p>
        </w:tc>
        <w:tc>
          <w:tcPr>
            <w:tcW w:type="dxa" w:w="2232"/>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0.375]</w:t>
            </w:r>
          </w:p>
        </w:tc>
      </w:tr>
      <w:tr>
        <w:trPr>
          <w:cantSplit/>
        </w:trPr>
        <w:tc>
          <w:tcPr>
            <w:tcW w:type="dxa" w:w="1656"/>
          </w:tcPr>
          <w:p>
            <w:pPr>
              <w:spacing w:before="20" w:after="20" w:line="240" w:lineRule="auto"/>
            </w:pPr>
            <w:r>
              <w:rPr>
                <w:rFonts w:ascii="Old Standard TT" w:hAnsi="Old Standard TT" w:cs="Old Standard TT" w:eastAsia="Old Standard TT"/>
                <w:sz w:val="18"/>
                <w:szCs w:val="18"/>
              </w:rPr>
              <w:t xml:space="preserve">Claude Haiku 5.5</w:t>
            </w:r>
          </w:p>
        </w:tc>
        <w:tc>
          <w:tcPr>
            <w:tcW w:type="dxa" w:w="936"/>
          </w:tcPr>
          <w:p>
            <w:pPr>
              <w:spacing w:before="20" w:after="20" w:line="240" w:lineRule="auto"/>
            </w:pPr>
            <w:r>
              <w:rPr>
                <w:rFonts w:ascii="Old Standard TT" w:hAnsi="Old Standard TT" w:cs="Old Standard TT" w:eastAsia="Old Standard TT"/>
                <w:sz w:val="18"/>
                <w:szCs w:val="18"/>
              </w:rPr>
              <w:t xml:space="preserve">0.673</w:t>
            </w:r>
          </w:p>
        </w:tc>
        <w:tc>
          <w:tcPr>
            <w:tcW w:type="dxa" w:w="936"/>
          </w:tcPr>
          <w:p>
            <w:pPr>
              <w:spacing w:before="20" w:after="20" w:line="240" w:lineRule="auto"/>
            </w:pPr>
            <w:r>
              <w:rPr>
                <w:rFonts w:ascii="Old Standard TT" w:hAnsi="Old Standard TT" w:cs="Old Standard TT" w:eastAsia="Old Standard TT"/>
                <w:sz w:val="18"/>
                <w:szCs w:val="18"/>
              </w:rPr>
              <w:t xml:space="preserve">0.100</w:t>
            </w:r>
          </w:p>
        </w:tc>
        <w:tc>
          <w:tcPr>
            <w:tcW w:type="dxa" w:w="1152"/>
          </w:tcPr>
          <w:p>
            <w:pPr>
              <w:spacing w:before="20" w:after="20" w:line="240" w:lineRule="auto"/>
            </w:pPr>
            <w:r>
              <w:rPr>
                <w:rFonts w:ascii="Old Standard TT" w:hAnsi="Old Standard TT" w:cs="Old Standard TT" w:eastAsia="Old Standard TT"/>
                <w:sz w:val="18"/>
                <w:szCs w:val="18"/>
              </w:rPr>
              <w:t xml:space="preserve">0.113</w:t>
            </w:r>
          </w:p>
        </w:tc>
        <w:tc>
          <w:tcPr>
            <w:tcW w:type="dxa" w:w="1224"/>
          </w:tcPr>
          <w:p>
            <w:pPr>
              <w:spacing w:before="20" w:after="20" w:line="240" w:lineRule="auto"/>
            </w:pPr>
            <w:r>
              <w:rPr>
                <w:rFonts w:ascii="Old Standard TT" w:hAnsi="Old Standard TT" w:cs="Old Standard TT" w:eastAsia="Old Standard TT"/>
                <w:sz w:val="18"/>
                <w:szCs w:val="18"/>
              </w:rPr>
              <w:t xml:space="preserve">0.238</w:t>
            </w:r>
          </w:p>
        </w:tc>
        <w:tc>
          <w:tcPr>
            <w:tcW w:type="dxa" w:w="1224"/>
          </w:tcPr>
          <w:p>
            <w:pPr>
              <w:spacing w:before="20" w:after="20" w:line="240" w:lineRule="auto"/>
            </w:pPr>
            <w:r>
              <w:rPr>
                <w:rFonts w:ascii="Old Standard TT" w:hAnsi="Old Standard TT" w:cs="Old Standard TT" w:eastAsia="Old Standard TT"/>
                <w:sz w:val="18"/>
                <w:szCs w:val="18"/>
              </w:rPr>
              <w:t xml:space="preserve">0.253</w:t>
            </w:r>
          </w:p>
        </w:tc>
        <w:tc>
          <w:tcPr>
            <w:tcW w:type="dxa" w:w="2232"/>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0.573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0.433]</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The notice, net of its notice-only effect, (K2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0.068] for Llama, 0.000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0.040, 0.040] for Qwen and 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0.125, 0.155] for Claude (upper CI bounds equal to 21%, 8% and 27% of the estimated pact effect). The warning beyond a neutral message (K3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K4)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0.090, 0.060], 0.010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0.023, 0.050]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0.103] (upper CI bounds equal to 19%, 10% and 18% of it). Any later message from S may have raised challenges of P, for Claude by about a quarter of the pact effect (K4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0.153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0.305]) and slightly for Qwen (0.033 [0.005, 0.070]). Both intervals lie near or include 0 and both sign-flip p values are at least 0.06, so this contact route is unconfirmed and we did not test it further. Caveats: P never acts as an ally in the replayed history, and each record drew its own acceptance reply. C10 has 5 samples per decision at these 40 decisions, C1, C10 and K came from separate runs, and no record states what a report would cost. C5 (Section 4.4) and K2 differ in pact wording, partner, reply source and decision type, so we cannot say why the notice weakened a pact with S but not one with P.</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audit on Qwen and Claude.</w:t>
      </w:r>
      <w:r>
        <w:rPr>
          <w:rFonts w:ascii="Old Standard TT" w:hAnsi="Old Standard TT" w:cs="Old Standard TT" w:eastAsia="Old Standard TT"/>
          <w:sz w:val="21"/>
          <w:szCs w:val="21"/>
        </w:rPr>
        <w:t xml:space="preserve"> An episode draws m answers with replacement from one record’s pooled answers, so its challenge count is binomial and every flag rate can be computed exactly, with the same randomised threshold. Refitting Llama’s threshold exactly gives FPR 0.142 [0.076, 0.239] and TPR 0.999 [0.993, 1.000], against Monte Carlo values of 0.161 and 0.999, and the preregistered threshold evaluated exactly gives an FPR of 0.147. Llama’s own indirect acceptance (C9) was flagged at 0.954 [0.868, 0.990]. Qwen: FPR 0.082 [0.057, 0.117], TPR 1.000 [1.000, 1.000], benign 0.565 [0.357, 0.765], refused 1.000 [0.985, 1.000], notice only 0.088 [0.051, 0.140]. Claude: FPR 0.088 [0.065, 0.113], TPR on its own indirect acceptance 1.000 [1.000, 1.000], benign 0.936 [0.677, 0.996], refused 0.004 [0.000, 0.052], notice only 0.158 [0.040, 0.423]. Llama’s preregistered threshold applied to the null replicates: Qwen 0.739, Claude 0.146.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 (preregistered study; post hoc runs in the paragraphs above).</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(post hoc also C9 and C10) at the challenge-S decisions, which came from 44 source sequences. Snapshot and live CIs used 10,000 bootstrap resamples (Figure 2b’s per-arm CIs 2,000); audit CIs 300 (post hoc exact audits 2,000),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Every number is rounded to the printed digits, halves away from zero, from unrounded results, so a printed difference may differ by 0.001 from the difference of the printed values it compares. Monte Carlo p-values cannot fall below 1/10,001, and sting_results/results.json stores such values as 0. There were 71,765 model calls: 16,500 in the offer battery, 32,622 live and 22,643 in snapshots. The estimated Claude API cost was $0.87 (offer battery) and $2.85 (snapshots), excluding the judge. The median game took 0.79 minutes, and 0.59% of snapshot samples failed to parse.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offering ordinary agents a direct pact, an indirect offer or a benign request, with an explicit alliance as positive control, is the sprint’s suggested project for question 3.2 (here, one target per table, with the designer’s hint tool as the alliance).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(Apache-2.0 licence).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Neither affects the study’s game, which subclasses the unaffected base game and fixes two harness bugs that did: second-last-survivor scoring and the shots-fired count shown to agents (DEVIATIONS.md section B).</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lang w:val="en-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outlineLvl w:val="0"/>
    </w:pPr>
    <w:rPr>
      <w:sz w:val="40"/>
      <w:szCs w:val="40"/>
    </w:rPr>
  </w:style>
  <w:style w:type="paragraph" w:styleId="Heading2">
    <w:name w:val="heading 2"/>
    <w:basedOn w:val="Normal"/>
    <w:next w:val="Normal"/>
    <w:pPr>
      <w:keepNext w:val="1"/>
      <w:keepLines w:val="1"/>
      <w:pageBreakBefore w:val="0"/>
      <w:spacing w:after="120" w:before="360" w:lineRule="auto"/>
      <w:outlineLvl w:val="1"/>
    </w:pPr>
    <w:rPr>
      <w:b w:val="0"/>
      <w:bCs w:val="0"/>
      <w:sz w:val="32"/>
      <w:szCs w:val="32"/>
    </w:rPr>
  </w:style>
  <w:style w:type="paragraph" w:styleId="Heading3">
    <w:name w:val="heading 3"/>
    <w:basedOn w:val="Normal"/>
    <w:next w:val="Normal"/>
    <w:pPr>
      <w:keepNext w:val="1"/>
      <w:keepLines w:val="1"/>
      <w:pageBreakBefore w:val="0"/>
      <w:spacing w:after="80" w:before="320" w:lineRule="auto"/>
      <w:outlineLvl w:val="2"/>
    </w:pPr>
    <w:rPr>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razzyrazzy11/trusted-agent-sting" TargetMode="External"/><Relationship Id="rId11" Type="http://schemas.openxmlformats.org/officeDocument/2006/relationships/hyperlink" Target="https://arxiv.org/abs/2507.01413" TargetMode="External"/><Relationship Id="rId12" Type="http://schemas.openxmlformats.org/officeDocument/2006/relationships/hyperlink" Target="https://doi.org/10.1186/1471-2288-11-94" TargetMode="External"/><Relationship Id="rId13" Type="http://schemas.openxmlformats.org/officeDocument/2006/relationships/hyperlink" Target="https://doi.org/10.3758/s13428-011-0132-6" TargetMode="External"/><Relationship Id="rId14" Type="http://schemas.openxmlformats.org/officeDocument/2006/relationships/hyperlink" Target="https://apartresearch.com/sprints/projects/the-sentinels-dilemma-detecting-improvised-covert-channels-in-multiagent-populations-91xl" TargetMode="External"/><Relationship Id="rId15" Type="http://schemas.openxmlformats.org/officeDocument/2006/relationships/hyperlink" Target="https://arxiv.org/abs/2404.00806" TargetMode="External"/><Relationship Id="rId16" Type="http://schemas.openxmlformats.org/officeDocument/2006/relationships/hyperlink" Target="https://arxiv.org/abs/2312.06942" TargetMode="External"/><Relationship Id="rId17" Type="http://schemas.openxmlformats.org/officeDocument/2006/relationships/hyperlink" Target="https://arxiv.org/abs/2502.14143" TargetMode="External"/><Relationship Id="rId18" Type="http://schemas.openxmlformats.org/officeDocument/2006/relationships/hyperlink" Target="https://doi.org/10.1016/j.knosys.2026.116067" TargetMode="External"/><Relationship Id="rId19" Type="http://schemas.openxmlformats.org/officeDocument/2006/relationships/hyperlink" Target="https://arxiv.org/abs/2508.19461" TargetMode="External"/><Relationship Id="rId20" Type="http://schemas.openxmlformats.org/officeDocument/2006/relationships/hyperlink" Target="https://doi.org/10.1093/biomet/73.1.13" TargetMode="External"/><Relationship Id="rId21" Type="http://schemas.openxmlformats.org/officeDocument/2006/relationships/hyperlink" Target="https://arxiv.org/abs/2402.07510" TargetMode="External"/><Relationship Id="rId22" Type="http://schemas.openxmlformats.org/officeDocument/2006/relationships/hyperlink" Target="https://doi.org/10.1002/(SICI)1097-0258(19980430)17:8%3C873::AID-SIM779%3E3.0.CO;2-I" TargetMode="External"/><Relationship Id="rId23" Type="http://schemas.openxmlformats.org/officeDocument/2006/relationships/hyperlink" Target="https://arxiv.org/abs/2502.19145" TargetMode="External"/><Relationship Id="rId24" Type="http://schemas.openxmlformats.org/officeDocument/2006/relationships/hyperlink" Target="https://arxiv.org/abs/2609.24967"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Partly Exposes and Deters Pact-Taking by LLM Agents</dc:title>
  <cp:lastModifiedBy>Raz [surname]</cp:lastModifiedBy>
  <cp:revision>1</cp:revision>
  <dcterms:modified xsi:type="dcterms:W3CDTF">2026-10-25T20:44:57Z</dcterms:modified>
  <dc:creator>Raz [surname]</dc:creator>
  <dc:subject>Apart Research AI Collusion Research Sprint, October 2026</dc:subject>
  <cp:keywords>LLM agents; collusion; trusted agent; sting; audit; preregistration</cp:keywords>
  <dc:language>en-GB</dc:language>
  <dcterms:created xsi:type="dcterms:W3CDTF">2026-10-25T20:44:57Z</dcterms:created>
</cp:coreProperties>
</file>