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been tested. In Zeng &amp; Rudzicz's (2026) Liar's Bar harness, a scripted “sting” player privately offered a target agent a mutual non-challenge pact. Refusal depended on wording and offerer: Qwen2.5-7B accepted the same pact from the game designer 493/500 times but from the sting only 56/500, and Claude Haiku 5.5 refused every explicit pact without an instructed persona yet agreed to a vaguer one 446/500 times. Llama-3.1-8B accepted 476/500 of the sting's offers. When we re-asked logged game decisions with a memory note that the target had accepted, rather than that no offer was made, its probability of challenging the sting fell by 44 percentage points; in live games the offer cut its challenge rate by 41 points, counting all offered targets. In the re-asked decisions, accepting agents became passive, not exploitative. An audit of 20 decisions per agent, simulated by resampling these answers, flagged 0.999 of accepting agents, at a false-positive rate of 0.161 against a 0.10 target. Announcing that integrity agents may be present cut acceptance from 0.952 to 0.556 without affecting a benign proposal; five accepting targets were too few to show whether denial in a post-game interview rose. Hypotheses, tests and code were frozen before data collection. A sting can reveal which agents make and act on a secret pact and deter them from accepting one, but must vary how, and by whom, the offer is made.</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reach supra-competitive prices without instruction (Fish et al., 2024), and in Zeng &amp; Rudzicz's (2026) Liar's Bar study most of 12 models, including all four 7–8B models, accepted secret collusion tools offered by the game designer. An overseer who only watches for collusion must wait for it and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a </w:t>
      </w:r>
      <w:r>
        <w:rPr>
          <w:rFonts w:ascii="Old Standard TT" w:hAnsi="Old Standard TT" w:cs="Old Standard TT" w:eastAsia="Old Standard TT"/>
          <w:b/>
          <w:bCs/>
          <w:sz w:val="21"/>
          <w:szCs w:val="21"/>
        </w:rPr>
        <w:t xml:space="preserve">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use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Lessons for sting batteries:</w:t>
      </w:r>
      <w:r>
        <w:rPr>
          <w:rFonts w:ascii="Old Standard TT" w:hAnsi="Old Standard TT" w:cs="Old Standard TT" w:eastAsia="Old Standard TT"/>
          <w:sz w:val="21"/>
          <w:szCs w:val="21"/>
        </w:rPr>
        <w:t xml:space="preserve"> refusals depended on wording (Claude), as Zeng &amp; Rudzicz found for secret tools, and on who offered (Qwen); a substring parser reported 0.354 acceptance on an offer Claude always refused.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and detectable.</w:t>
      </w:r>
      <w:r>
        <w:rPr>
          <w:rFonts w:ascii="Old Standard TT" w:hAnsi="Old Standard TT" w:cs="Old Standard TT" w:eastAsia="Old Standard TT"/>
          <w:sz w:val="21"/>
          <w:szCs w:val="21"/>
        </w:rPr>
        <w:t xml:space="preserve"> An accepted-pact record cut challenges of the sting by 44 percentage points in snapshots, the offer cut them by 41 live (all offered targets), and a 20-decision audit separates simulated accepters from null agents (AUROC 0.998).</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whether refusers act on the pact covertly is untested, and five accepters were too few to show whether denial rose.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in double auctions, though some kept signalling covertly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was framing-dependent: models that refused an explicitly unfair tool accepted it in neutral wording, removing the designer attribution eliminated Qwen2.5-7B's acceptance of the channel, and mentioning an external evaluator cut some frontier models' acceptance. In a simulated reporting stage Claude Sonnet 5 denied adoption whenever the evaluator could not check; our post-game interview follows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In AI control, validating an untrusted monitor on synthetic backdoors catches one that colludes by lying (Greenblatt et al., 2023). GroupGuard probes suspected colluders with honeypot questions (Tao et al., 2026), and in an earlier Apart sprint an embedded “sentinel” agent detected a covert channel only after making first contact itself (Çanlı et al., 2026). Wehner &amp; Kraprayoon (2026) propose, without testing, honeypot messages in which another agent offers to collude, and deterrence by “a non-specific warning that honeypots are present”. Forged memories serve as a defence (“vaccines”;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offers the non-challenge pact in direct, indirect and benign forms,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and acceptance can be compared with a content-matched offer from an authority. We also test the announced-sting deterrent against a benign-proposal control.</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Codes: cells A0z–A8 (A0z, A0b and A0d come from the game designer), records C0–C8, arms B0–B4, and positive controls PC1–PC3. Differences are reported as proportions (0.10 = 10 percentage points); all tests are two-sided.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six-chamber revolver, whose single round advances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937760" cy="1457652"/>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937760" cy="1457652"/>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Replies are scored by our strict first-word parser (primary), the harness's substring parser (any “ACCEPT” counts) or an LLM judge for free text; play outcomes are game actions, with no parser or judge in their measurement.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offers each, for Llama-3.1-8B (the primary model), Qwen2.5-7B and Claude Haiku 5.5: Zeng &amp; Rudzicz's designer offer of a secret-hint alliance tool (A0z, positive control PC1; A0b fixes the partner to S), the direct pact from the designer (A0d) or from the sting (A1), and sting variants with indirect or benign wording, the integrity notice, a fairness reminder, or an instructed colluder or honest persona as a known-group check (Figure 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3) include no memory block (C0), an accepted benign proposal (C2), a refused pact (C4), the pact with the integrity notice (C5), the personas (C6 honest, C7 colluder) and an accepted designer hint (C8, positive control PC3). T's reply in each record comes from its own offer-battery replies. The H2 estimand is the mean over the 60 restraint decisions of p(challenge | C3) minus p(challenge | C1); its CI comes from a bootstrap and its p from sign-flipping, both by source sequence (n = 44).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every LLM player answered three suspicion questions, from general to whether any player was “a plant or an integrity agent” (Bargh &amp; Chartrand, 2000), and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shows an agent m of S's plays and flags it if it rarely challenges. We have one model, not a population of agents, so a simulated “agent” is m answers drawn at random, with replacement, from all of T's answers under one record across the 60 restraint decisions. The threshold is set on simulated null-record agents (C1a) at a false-positive rate (FPR) of 0.10, with randomised tie-breaking, then applied to the independent null replicate (C1b, FPR), to accepting agents (C3, true positive rate, TPR) and to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Zeng &amp; Rudzicz's designer offer in every trial, and an accepted designer hint nearly eliminated T's challenges of S live (0.011 vs 0.749 with no offer) and in snapshots. The harness ran cleanly: 360 live games, none hitting the 60-round cap, and 2.1% of 10,472 decisions (1.4%–2.9% by arm) falling back to the harness's default action (preregistered limit 5%).</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w:t>
      </w:r>
      <w:r>
        <w:rPr>
          <w:rFonts w:ascii="Old Standard TT" w:hAnsi="Old Standard TT" w:cs="Old Standard TT" w:eastAsia="Old Standard TT"/>
          <w:sz w:val="19"/>
          <w:szCs w:val="19"/>
        </w:rPr>
        <w:t xml:space="preserve"> Preregistered outcomes (primary model Llama-3.1-8B). Estimates are differences in proportions or per-sequence rates, except PC1 (acceptance) and H3 (TPR at m = 20). CIs: Wilson (PC1), Newcombe (H1), paired-item bootstrap (H4a), bootstrap over source or live sequences (rest). Holm p for H1, H2-live and H4a; H2 is the single primary test.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offer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Sting (A1) vs designer (A0d) acceptance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both criteria met</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Who accepts: refusals depend on wording and on who asks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by reflex.</w:t>
      </w:r>
      <w:r>
        <w:rPr>
          <w:rFonts w:ascii="Old Standard TT" w:hAnsi="Old Standard TT" w:cs="Old Standard TT" w:eastAsia="Old Standard TT"/>
          <w:sz w:val="21"/>
          <w:szCs w:val="21"/>
        </w:rPr>
        <w:t xml:space="preserve"> It accepted the sting's direct pact 476/500 times (0.952 [0.930, 0.968]), slightly less than the same pact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The integrity notice cut acceptance to 0.556 [0.512, 0.599] while leaving the benign proposal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In the same ACCEPT-first format, the honest persona cut acceptance to 0.040 and an organiser's reminder that side agreements are unfair to 0.240, further than the notice did (descriptive; no benign control for the reminder; Figure 2).</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846320" cy="2239961"/>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846320" cy="223996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asks and how: Qwen refuses the sting's direct pact (A1) but not the designer's (A0d); without a persona, Claude refuses explicit offers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consistent with Zeng &amp; Rudzicz's finding that removing the designer attribution eliminated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(A0z, A0b, A0d, A1, A4, A6; also with the honest persona, A8), yet accepted the indirect pact (“look out for each other a little”) 446/500 times and the direct pact under a colluder persona 420/500 times, echoing Zeng &amp; Rudzicz's neutral-wording result. Whether Claude acts on the indirect pact was not tested, so explicit refusals understate agreement; they do not show that Claude colludes.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Measurement note.</w:t>
      </w:r>
      <w:r>
        <w:rPr>
          <w:rFonts w:ascii="Old Standard TT" w:hAnsi="Old Standard TT" w:cs="Old Standard TT" w:eastAsia="Old Standard TT"/>
          <w:sz w:val="21"/>
          <w:szCs w:val="21"/>
        </w:rPr>
        <w:t xml:space="preserve"> The substring parser counts “I will not accept” as acceptance. On Claude's replies to Zeng &amp; Rudzicz's designer offer it reports 0.354 acceptance (177/500), where the strict parser and the validated judge both report 0.000.</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3). Controls separate the pact from mere contact: the two null replicates do not detectably differ,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challenges of S (by 0.175), an accepted benign proposal moves them only slightly (0.055), and the instructed personas push in opposite directions (honest 0.328; colluder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0.535).</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394960" cy="2099331"/>
            <wp:docPr id="3" name="Picture 3"/>
            <wp:cNvGraphicFramePr>
              <a:graphicFrameLocks noChangeAspect="1"/>
            </wp:cNvGraphicFramePr>
            <a:graphic>
              <a:graphicData uri="http://schemas.openxmlformats.org/drawingml/2006/picture">
                <pic:pic>
                  <pic:nvPicPr>
                    <pic:cNvPr id="0" name="fig3_snapshots.png"/>
                    <pic:cNvPicPr/>
                  </pic:nvPicPr>
                  <pic:blipFill>
                    <a:blip r:embed="rId10"/>
                    <a:stretch>
                      <a:fillRect/>
                    </a:stretch>
                  </pic:blipFill>
                  <pic:spPr>
                    <a:xfrm>
                      <a:off x="0" y="0"/>
                      <a:ext cx="5394960" cy="2099331"/>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Records of an accepted pact (C3), hint (C8) or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make agents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Llama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has an effect of similar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4);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not interpretable: before the offer, B1 targets already bluffed against S less and challenged others less than B3 targets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120640" cy="2941840"/>
            <wp:docPr id="4" name="Picture 4"/>
            <wp:cNvGraphicFramePr>
              <a:graphicFrameLocks noChangeAspect="1"/>
            </wp:cNvGraphicFramePr>
            <a:graphic>
              <a:graphicData uri="http://schemas.openxmlformats.org/drawingml/2006/picture">
                <pic:pic>
                  <pic:nvPicPr>
                    <pic:cNvPr id="0" name="fig4_live.png"/>
                    <pic:cNvPicPr/>
                  </pic:nvPicPr>
                  <pic:blipFill>
                    <a:blip r:embed="rId11"/>
                    <a:stretch>
                      <a:fillRect/>
                    </a:stretch>
                  </pic:blipFill>
                  <pic:spPr>
                    <a:xfrm>
                      <a:off x="0" y="0"/>
                      <a:ext cx="5120640" cy="2941840"/>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(2,000 resamples). Six sequences lack an open circle (no pre-offer decision on S's plays).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for an effect this large. Its FPR on the independent null replicate was 0.161 [0.074, 0.263], not detectably above the 0.10 target; the point estimate sits near the simulation's 95th percentile for a calibrated threshold (0.16 to 0.18), and the upper bound leaves moderate miscalibration possible.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agents without a collusive pact:</w:t>
      </w:r>
      <w:r>
        <w:rPr>
          <w:rFonts w:ascii="Old Standard TT" w:hAnsi="Old Standard TT" w:cs="Old Standard TT" w:eastAsia="Old Standard TT"/>
          <w:sz w:val="21"/>
          <w:szCs w:val="21"/>
        </w:rPr>
        <w:t xml:space="preserve"> simulated agents with an accepted benign proposal (C2) were flagged at 0.040 and with a refused pact (C4) at 0.002; TPR is already 0.977 at m = 10.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at m = 20 an agent is flagged if its challenge rate falls below 0.50, so an accepter must raise its rate from 0.189 to 0.50, giving up about 71% of the restraint the pact buys.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Fewer acceptances; concealment not ruled out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fixed the classification in advance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persists while refusals or denials rise. </w:t>
      </w:r>
      <w:r>
        <w:rPr>
          <w:rFonts w:ascii="Old Standard TT" w:hAnsi="Old Standard TT" w:cs="Old Standard TT" w:eastAsia="Old Standard TT"/>
          <w:b/>
          <w:bCs/>
          <w:sz w:val="21"/>
          <w:szCs w:val="21"/>
        </w:rPr>
        <w:t xml:space="preserve">Verdict:</w:t>
      </w:r>
      <w:r>
        <w:rPr>
          <w:rFonts w:ascii="Old Standard TT" w:hAnsi="Old Standard TT" w:cs="Old Standard TT" w:eastAsia="Old Standard TT"/>
          <w:sz w:val="21"/>
          <w:szCs w:val="21"/>
        </w:rPr>
        <w:t xml:space="preserve"> both signs of deterrence appeared, the second confounded (item 2); concealment is neither shown nor ruled out (refusers' play was not analysed; item 3).</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Acceptance fell for the pact but not the benign proposal (Section 4.1); live, 5/10 B4 targets accepted, against 14/15 in B1.</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(H4b, H4c).</w:t>
      </w:r>
      <w:r>
        <w:rPr>
          <w:rFonts w:ascii="Old Standard TT" w:hAnsi="Old Standard TT" w:cs="Old Standard TT" w:eastAsia="Old Standard TT"/>
          <w:sz w:val="21"/>
          <w:szCs w:val="21"/>
        </w:rPr>
        <w:t xml:space="preserve"> In snapshots, a pact record with the notice in view left T challenging S more than one without it (0.313 vs 0.189; 0.124 [0.043, 0.198]). Live, B4 targets challenged S at 0.636: 0.297 [0.167, 0.422] above B1 (Welch p &lt; 0.001) and 0.113 [0.008, 0.216] below no-offer targets, a gap whose bootstrap CI excludes zero but whose Welch p is 0.062 (permutation p = 0.037). With no notice-only control, neither contrast separates weaker pact-keeping from a general rise in challenging under the notice, and the live one includes B4 refusers.</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so a rise of up to 34 points is not excluded. Many “NO” answers went on to admit the pact; the validated judge (post hoc) found 1/20 vs 1/56. Each target gave four answers, and only five B4 targets accepted.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The sting exposed agents willing to join a pact (accepted pacts were acted on, and an audit flagged them) and, when announced, reduced joining. Only the direct pact was played live, only one agent per table was approached, and disrupting an existing coalition was not tested. Some targets suspected the sting: 5/15 named S as a plant after the direct pact, against 2/15 with no offer (descriptive;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after a one-off calibration of about 1,200 null-record calls ($0.31) per model, as thresholds may not transfer across models. A deployer would plant the offer in a sandboxed copy of a multi-agent market or negotiation pipeline and hold back, or monitor more closely, any model version it flags; an unflagged one is not cleared, as refusals depend on wording. At m = 20, about one in 6 clean versions and one in 25 benign cooperators would be flagged (snapshots; 2/10 live).</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and for Llama-3.1-8B benign contact changed play far less than a pact did. Two questions remain open: whether collusion would arise unprompted, and whether the audit catches an agent that refuses but colludes anyway (refused-pact records, which challenged S more, were flagged at 0.002). Appendix A lists the rest: one game, small open models, short sequences, off-policy snapshots, templated Claude records, five B4 accepters, an ACCEPT-first reply format, a possibly recognisable sting.</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in agentic tasks with real payoffs, offers to every agent at a table, and audits of agents that refuse.</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that offers to collude can reveal which agents make and act on a secret pact. Three takeaways: refusal depends on wording and offerer, so explicit refusals are weak evidence of safety; accepted pacts are largely acted on and detectable (Llama-3.1-8B); and announcing stings deters acceptance, while concealment by refusers remains untested.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that fills in every estimate: </w:t>
      </w:r>
      <w:hyperlink r:id="rId12">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on request). Preexisting: the Liar's Bar harness in the sprint starter repository (poseidon-research/collusion_hackathon, commit d585a7b), patched for two bugs (Appendix C). Raw game logs and transcripts are available on request.</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3">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4">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8">
      <w:pPr>
        <w:rPr>
          <w:rFonts w:ascii="Old Standard TT" w:cs="Old Standard TT" w:eastAsia="Old Standard TT" w:hAnsi="Old Standard TT"/>
        </w:rPr>
      </w:pPr>
      <w:r>
        <w:br w:type="page"/>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Calibration needs null-record agents of the same model (one split-half check suggests new situations of the same model suffice); Claude's response to a benign proposal suggests that thresholds do not transfer across models. Live, the rule flagged 2/10 benign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 missing control and post hoc analyses.</w:t>
      </w:r>
      <w:r>
        <w:rPr>
          <w:rFonts w:ascii="Old Standard TT" w:hAnsi="Old Standard TT" w:cs="Old Standard TT" w:eastAsia="Old Standard TT"/>
          <w:sz w:val="21"/>
          <w:szCs w:val="21"/>
        </w:rPr>
        <w:t xml:space="preserve"> B4 had 5/10 accepting targets, and B4 refusers' play was not analysed separately. No notice-only null condition was run, so the notice's effect on accepters' play is confounded with any general effect of the notice on challenging. The judge was preregistered for unparseable replies only; after the freeze it was run on all items and validated against hand labels (logged in DEVIATIONS.md, section D). The judge-based denial comparison (Section 4.4) was added after the preregistered parser-based analysis was seen.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at 0.283 [0.185, 0.408]; O1 and O2 named it at 0.150 [0.097, 0.225]. S never challenged T after the offer,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shows that a vague proposal can pass an explicit-refusal habit. The phrase is generic, and wording effects are already widely known for jailbreaks and for secret tools (Zeng &amp; Rudzicz, 2026).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which the audit was not tested against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under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As in confederate designs with human participants, a suspicion funnel served as the manipulation check (Bargh &amp; Chartrand, 2000).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every other explicit-pact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so the restraint is only partly pact-specific and detector thresholds need per-model calibration.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non-null record,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29"/>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agents exactly at it are flagged with probability 0.512; agents with an accepted designer hint (C8) were flagged at 1.000, instructed colluders (C7) at 1.000 and instructed honest agents (C6) at 0.000. In one split-half check (calibrated on half the source sequences, applied to the other half), FPR at m = 20 was 0.037, below the 0.12 to 0.16 that the preregistered simulation predicted for new situations; it is a single seeded split without a CI.</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by variant.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Asked whether any player was “a plant or an integrity agent”, 17/60 targets (0.283 [0.185, 0.408]) named S, against 18/120 answers by O1/O2 (0.150 [0.097, 0.225]). Targets named S somewhat more often (no test; O1/O2 answers are paired by sequence), but most did not.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Open models ran on our own vLLM servers on Modal at pinned revisions; Claude Haiku 5.5 (claude-haiku-5-5, thinking disabled) ran through the Anthropic API. Each snapshot condition was sampled 5 times per decision, and 20 times for C1a, C1b and C3 at the challenge-S decisions. Snapshot and live CIs used 10,000 bootstrap resamples (Figure 4's per-arm CIs 2,000); detector CIs 300, re-calibrating in each. 71,765 model calls (offer battery 16,500; live 32,622; snapshots 22,643);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The scripted player offering the non-challenge pact in direct, indirect and benign forms, with the designer's alliance offer as positive control, is the sprint's suggested project for question 3.2. The counterfactual snapshots, the calibrated audit, the integrity notice with its benign control, the designer-versus-sting comparison, the interview and the preregistration are this study's additions.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razzyrazzy11/trusted-agent-sting" TargetMode="External"/><Relationship Id="rId13" Type="http://schemas.openxmlformats.org/officeDocument/2006/relationships/hyperlink" Target="https://arxiv.org/abs/2507.01413" TargetMode="External"/><Relationship Id="rId14" Type="http://schemas.openxmlformats.org/officeDocument/2006/relationships/hyperlink" Target="https://doi.org/10.1186/1471-2288-11-94"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2026-10-24T15:01:27Z</dcterms:modified>
  <dc:creator>Raz [surname]</dc:creator>
  <dc:subject>Apart Research AI Collusion Research Sprint, October 2026</dc:subject>
</cp:coreProperties>
</file>