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Reveals and Deters Secret Pact-Making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Qwen2.5-7B accepted a secret pact from the game designer 493/500 times but from a fellow player only 56/500; Claude Haiku 5.5 refused every explicit pact without an instructed persona but agreed to a vaguer one 446/500 times. Refusal depends on wording and offerer, which matters for a defence that sprint question 3.2 calls untested: a trusted agent that offers to collude. In Zeng &amp; Rudzicz's (2026) Liar's Bar harness, a scripted “sting” player privately offered a target agent a mutual non-challenge pact. Llama-3.1-8B accepted 476/500 offers. When we re-asked the same decisions with a record of an accepted pact instead of a null record, the target's probability of challenging the sting fell by 44 percentage points; in live games the offer cut its challenge rate by 41 points, counting all offered targets. In snapshots, accepting agents became passive, not exploitative. An audit of 20 resampled decisions flagged 0.999 of accepting agents, at a false-positive rate of 0.161 against a 0.10 target. Announcing that integrity agents may be present cut acceptance from 0.952 to 0.556 without affecting a benign proposal; with five accepting targets, interview denial did not detectably rise. Hypotheses, tests and code were frozen before data collection. A sting can reveal which agents make and keep a secret pact and deter them from making one, but must vary how, and by whom, the offer is made.</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reach supra-competitive prices without instruction (Fish et al., 2024), and in Zeng &amp; Rudzicz's (2026) Liar's Bar study most of 12 models, including all four 7–8B models, accepted secret collusion tools offered by the game designer. An overseer who only watches for collusion must wait for it and then prove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a </w:t>
      </w:r>
      <w:r>
        <w:rPr>
          <w:rFonts w:ascii="Old Standard TT" w:hAnsi="Old Standard TT" w:cs="Old Standard TT" w:eastAsia="Old Standard TT"/>
          <w:b/>
          <w:bCs/>
          <w:sz w:val="21"/>
          <w:szCs w:val="21"/>
        </w:rPr>
        <w:t xml:space="preserve">trusted agent that offers to collude</w:t>
      </w:r>
      <w:r>
        <w:rPr>
          <w:rFonts w:ascii="Old Standard TT" w:hAnsi="Old Standard TT" w:cs="Old Standard TT" w:eastAsia="Old Standard TT"/>
          <w:sz w:val="21"/>
          <w:szCs w:val="21"/>
        </w:rPr>
        <w:t xml:space="preserve">, which sprint question 3.2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w:t>
      </w:r>
      <w:r>
        <w:rPr>
          <w:rFonts w:ascii="Old Standard TT" w:hAnsi="Old Standard TT" w:cs="Old Standard TT" w:eastAsia="Old Standard TT"/>
          <w:i/>
          <w:iCs/>
          <w:sz w:val="21"/>
          <w:szCs w:val="21"/>
        </w:rPr>
        <w:t xml:space="preserve">measure</w:t>
      </w:r>
      <w:r>
        <w:rPr>
          <w:rFonts w:ascii="Old Standard TT" w:hAnsi="Old Standard TT" w:cs="Old Standard TT" w:eastAsia="Old Standard TT"/>
          <w:sz w:val="21"/>
          <w:szCs w:val="21"/>
        </w:rPr>
        <w:t xml:space="preserve"> how often they do,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to hide collusion,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use Hammond et al.'s (2025) definition: collusion is “secretive cooperation between two or more parties at the expense of one or more other parties”; here, a private pact that spares two players at the others' expense. The colluder is an LLM agent that may accept such a pact. The defender, a platform or evaluator, can insert one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whose decisions it scripts, sees that participant's interactions but not other agents' reasoning, and knows which behaviour a pact implies. The sting tests a disposition, whether an agent enters and honours a pact when offered one; like a police integrity test, it creates the opportunity it observes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A scripted sting player S privately offers one target agent T per table a mutual non-challenge pact (“you never challenge my plays and I never challenge yours”); the two other players, O1 and O2,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kept, and detectable.</w:t>
      </w:r>
      <w:r>
        <w:rPr>
          <w:rFonts w:ascii="Old Standard TT" w:hAnsi="Old Standard TT" w:cs="Old Standard TT" w:eastAsia="Old Standard TT"/>
          <w:sz w:val="21"/>
          <w:szCs w:val="21"/>
        </w:rPr>
        <w:t xml:space="preserve"> A record of an accepted pact cut challenges of the sting by 44 percentage points in snapshots, and the offer cut them by 41 in live games (all offered targets); an audit of 20 resampled decisions separates accepting from null agents (AUROC 0.998).</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 deters acceptance</w:t>
      </w:r>
      <w:r>
        <w:rPr>
          <w:rFonts w:ascii="Old Standard TT" w:hAnsi="Old Standard TT" w:cs="Old Standard TT" w:eastAsia="Old Standard TT"/>
          <w:sz w:val="21"/>
          <w:szCs w:val="21"/>
        </w:rPr>
        <w:t xml:space="preserve"> of the collusive pact but not of a benign one; denial did not detectably rise, though five accepters cannot rule out concealment.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Lessons for sting batteries:</w:t>
      </w:r>
      <w:r>
        <w:rPr>
          <w:rFonts w:ascii="Old Standard TT" w:hAnsi="Old Standard TT" w:cs="Old Standard TT" w:eastAsia="Old Standard TT"/>
          <w:sz w:val="21"/>
          <w:szCs w:val="21"/>
        </w:rPr>
        <w:t xml:space="preserve"> refusals depended on wording (Claude) and offerer (Qwen), and a substring parser reported 0.354 acceptance on an offer the model always refused.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Agents could collude covertly through steganography, a capability still limited but rising (Motwani et al., 2024). Zeng &amp; Rudzicz (2026) offered secret tools (a private channel, or strategy hints shared with a partner) to 12 models in Liar's Bar and Cleanup. Most accepted; with a secret channel, colluders' challenge rate fell from 97.6% to 30.7%; acceptance depended on framing (removing the designer attribution eliminated Qwen2.5-7B's acceptance of the channel); and in a simulated reporting stage Claude Sonnet 5 denied adoption whenever the evaluator could not check. Their offers come from the designer or no named source, or are relayed from a partner who chose to collude. Our post-game interview, which varies whether the organiser can check private messages, follows their design.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In AI control, an untrusted monitor is validated on synthetic backdoored solutions, which catches a monitor that colludes with the policy by lying (Greenblatt et al., 2023). GroupGuard probes suspected colluders with honeypot questions, then prunes them (Tao et al., 2026). In an earlier Apart sprint, an embedded “sentinel” agent detected a covert channel only after making first contact itself (Çanlı et al., 2026). Forged memories have been inserted into agents as a defence (“vaccines”; Peigné-Lefebvre et al., 2025); our snapshots use them as a measurement.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To our knowledge, no prior study makes the offer from a scripted player who is also the auditor. Because the offerer's decisions are held fixed, the effects of the offer (live) and of a recorded acceptance (snapshots) are identified causally and calibrated against agents that received no offer, and acceptance can be compared with a content-matched offer from an authority.</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Differences are reported as proportions (0.10 = 10 percentage points); all tests are two-sided.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six-chamber revolver, whose single round advances a chamber per shot;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937760" cy="1457652"/>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937760" cy="1457652"/>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S's decisions are identical in every arm, so differences in T's play between arms are caused by the arm's texts.</w:t>
      </w:r>
      <w:r>
        <w:rPr>
          <w:rFonts w:ascii="Old Standard TT" w:hAnsi="Old Standard TT" w:cs="Old Standard TT" w:eastAsia="Old Standard TT"/>
          <w:sz w:val="19"/>
          <w:szCs w:val="19"/>
        </w:rPr>
        <w:t xml:space="preserve"> S's plays and challenges come from seeded streams, and from game 3 on it never challenges T in any arm. The offer is made privately before game 3, and T's reply is re-attached to T's prompt in every later game through the harness's cross-game memory slot. (PREREG.md calls seatings R and E arrangements A and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Replies are scored by our strict first-word parser (primary), the harness's substring parser (any “ACCEPT” counts) or an LLM judge for free text; play outcomes are game actions, with no parser or judge in their measurement.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offers each, for Llama-3.1-8B (the primary model), Qwen2.5-7B and Claude Haiku 5.5: the harness's designer offer (A0z, positive control PC1), the same direct pact from the designer (A0d) or the sting (A1), and sting variants with indirect or benign wording, the integrity notice, a fairness reminder, or an instructed persona as a known-group check (Figure 2 lists all eleven).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two replicates C1a and C1b, pooled); the difference in challenge rates is the pact's effect on that decision. From pre-offer games we sampled 60 such decisions, 60 where T played with S as its challenger and 40 where T could challenge another player. Other records (Figure 3) include no memory block (C0), a refused pact (C4), the pact with the integrity notice (C5), and an accepted designer hint (C8, positive control PC3). T's reply in each record comes from its own offer-battery replies. The H2 estimand is the mean over decisions of p(challenge | C3) minus p(challenge | C1); its CI and sign-flip p come from resampling the 44 source sequences. Claude Haiku 5.5 was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Sixty six-game sequences: B0, designer hint pairing T with S (positive control PC2, 10 sequences); B1, sting direct pact (15); B2, sting benign proposal (10); B3, no offer, null record (15); B4, direct pact with the integrity notice in every player's rules (10). The live estimand is the difference in mean per-sequence post-offer rates at which T challenges S, B1 minus B3, by intention to treat (ITT: all offered targets, accepters or not; Welch test). After each sequence, every LLM player answered three suspicion questions, from general to “was any player a plant?” (Bargh &amp; Chartrand, 2000), and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 detector (H3).</w:t>
      </w:r>
      <w:r>
        <w:rPr>
          <w:rFonts w:ascii="Old Standard TT" w:hAnsi="Old Standard TT" w:cs="Old Standard TT" w:eastAsia="Old Standard TT"/>
          <w:sz w:val="21"/>
          <w:szCs w:val="21"/>
        </w:rPr>
        <w:t xml:space="preserve"> An audit draws m of an agent's responses at S's plays and flags the agent if its challenge rate is low. A simulated “agent” is m draws with replacement from all samples of one record pooled over the 60 decisions, not a model instance. The threshold is set on null-record agents (C1a) at a false-positive rate (FPR) of 0.10, with randomised tie-breaking, then applied to the independent null replicate (C1b, FPR), to pact-accepting agents (C3, true positive rate, TPR) and to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(95% CI lower bound ≤ 0.10), and H4b–d (descriptive) classify the notice's effect (Section 4.4). All of this was written in PREREG.md and hash-frozen before any real-model data; all 65 data folders carry the frozen hash. H1, H2-live and H4a form a Holm-adjusted family; H3 is a criterion test; the rest is descriptive with 95% CIs (methods in Table 1 and Appendix B; Wilson, 1927; Newcombe, 1998). Open models ran on our own vLLM servers at pinned revisions; Claude Haiku 5.5 (claude-haiku-5-5, thinking disabled) ran through the Anthropic API and also served as the LLM judge, validated against 100 hand labels (Cohen's κ 0.933; strict parser κ 0.893).</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Zeng &amp; Rudzicz's designer offer in every trial, and an accepted designer hint nearly eliminated T's challenges of S live (0.011 vs 0.749 with no offer) and in snapshots. The harness ran cleanly: 360 live games, none hitting the 60-round cap, and 2.1% of 10,472 decisions (1.4%–2.9% by arm) falling back to a default (preregistered limit 5%).</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w:t>
      </w:r>
      <w:r>
        <w:rPr>
          <w:rFonts w:ascii="Old Standard TT" w:hAnsi="Old Standard TT" w:cs="Old Standard TT" w:eastAsia="Old Standard TT"/>
          <w:sz w:val="19"/>
          <w:szCs w:val="19"/>
        </w:rPr>
        <w:t xml:space="preserve"> Preregistered outcomes (primary model Llama-3.1-8B). Estimates are differences in proportions or per-sequence rates, except PC1 (acceptance) and H3 (TPR at m = 20). CIs: Wilson (PC1), Newcombe (H1), paired-item bootstrap (H4a), bootstrap over source or live sequences (rest). Holm p for H1, H2-live and H4a; H2 is the single primary test.</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tblHeader/>
        </w:trPr>
        <w:tc>
          <w:tcPr>
            <w:tcW w:type="dxa" w:w="1296"/>
          </w:tcPr>
          <w:p>
            <w:pPr>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spacing w:before="20" w:after="20" w:line="240" w:lineRule="auto"/>
            </w:pPr>
            <w:r>
              <w:rPr>
                <w:rFonts w:ascii="Old Standard TT" w:hAnsi="Old Standard TT" w:cs="Old Standard TT" w:eastAsia="Old Standard TT"/>
                <w:b/>
                <w:bCs/>
                <w:sz w:val="18"/>
                <w:szCs w:val="18"/>
              </w:rPr>
              <w:t xml:space="preserve">Outcome</w:t>
            </w:r>
          </w:p>
        </w:tc>
      </w:tr>
      <w:tr>
        <w:tc>
          <w:tcPr>
            <w:tcW w:type="dxa" w:w="1296"/>
          </w:tcPr>
          <w:p>
            <w:pPr>
              <w:spacing w:before="20" w:after="20" w:line="240" w:lineRule="auto"/>
            </w:pPr>
            <w:r>
              <w:rPr>
                <w:rFonts w:ascii="Old Standard TT" w:hAnsi="Old Standard TT" w:cs="Old Standard TT" w:eastAsia="Old Standard TT"/>
                <w:sz w:val="18"/>
                <w:szCs w:val="18"/>
              </w:rPr>
              <w:t xml:space="preserve">PC1</w:t>
            </w:r>
          </w:p>
        </w:tc>
        <w:tc>
          <w:tcPr>
            <w:tcW w:type="dxa" w:w="3528"/>
          </w:tcPr>
          <w:p>
            <w:pPr>
              <w:spacing w:before="20" w:after="20" w:line="240" w:lineRule="auto"/>
            </w:pPr>
            <w:r>
              <w:rPr>
                <w:rFonts w:ascii="Old Standard TT" w:hAnsi="Old Standard TT" w:cs="Old Standard TT" w:eastAsia="Old Standard TT"/>
                <w:sz w:val="18"/>
                <w:szCs w:val="18"/>
              </w:rPr>
              <w:t xml:space="preserve">Designer offer accepted (offer battery)</w:t>
            </w:r>
          </w:p>
        </w:tc>
        <w:tc>
          <w:tcPr>
            <w:tcW w:type="dxa" w:w="2664"/>
          </w:tcPr>
          <w:p>
            <w:pPr>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spacing w:before="20" w:after="20" w:line="240" w:lineRule="auto"/>
            </w:pPr>
            <w:r>
              <w:rPr>
                <w:rFonts w:ascii="Old Standard TT" w:hAnsi="Old Standard TT" w:cs="Old Standard TT" w:eastAsia="Old Standard TT"/>
                <w:sz w:val="18"/>
                <w:szCs w:val="18"/>
              </w:rPr>
              <w:t xml:space="preserve">pass</w:t>
            </w:r>
          </w:p>
        </w:tc>
      </w:tr>
      <w:tr>
        <w:tc>
          <w:tcPr>
            <w:tcW w:type="dxa" w:w="1296"/>
          </w:tcPr>
          <w:p>
            <w:pPr>
              <w:spacing w:before="20" w:after="20" w:line="240" w:lineRule="auto"/>
            </w:pPr>
            <w:r>
              <w:rPr>
                <w:rFonts w:ascii="Old Standard TT" w:hAnsi="Old Standard TT" w:cs="Old Standard TT" w:eastAsia="Old Standard TT"/>
                <w:sz w:val="18"/>
                <w:szCs w:val="18"/>
              </w:rPr>
              <w:t xml:space="preserve">PC2</w:t>
            </w:r>
          </w:p>
        </w:tc>
        <w:tc>
          <w:tcPr>
            <w:tcW w:type="dxa" w:w="3528"/>
          </w:tcPr>
          <w:p>
            <w:pPr>
              <w:spacing w:before="20" w:after="20" w:line="240" w:lineRule="auto"/>
            </w:pPr>
            <w:r>
              <w:rPr>
                <w:rFonts w:ascii="Old Standard TT" w:hAnsi="Old Standard TT" w:cs="Old Standard TT" w:eastAsia="Old Standard TT"/>
                <w:sz w:val="18"/>
                <w:szCs w:val="18"/>
              </w:rPr>
              <w:t xml:space="preserve">Designer hint → restraint toward S (live)</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spacing w:before="20" w:after="20" w:line="240" w:lineRule="auto"/>
            </w:pPr>
            <w:r>
              <w:rPr>
                <w:rFonts w:ascii="Old Standard TT" w:hAnsi="Old Standard TT" w:cs="Old Standard TT" w:eastAsia="Old Standard TT"/>
                <w:sz w:val="18"/>
                <w:szCs w:val="18"/>
              </w:rPr>
              <w:t xml:space="preserve">pass</w:t>
            </w:r>
          </w:p>
        </w:tc>
      </w:tr>
      <w:tr>
        <w:tc>
          <w:tcPr>
            <w:tcW w:type="dxa" w:w="1296"/>
          </w:tcPr>
          <w:p>
            <w:pPr>
              <w:spacing w:before="20" w:after="20" w:line="240" w:lineRule="auto"/>
            </w:pPr>
            <w:r>
              <w:rPr>
                <w:rFonts w:ascii="Old Standard TT" w:hAnsi="Old Standard TT" w:cs="Old Standard TT" w:eastAsia="Old Standard TT"/>
                <w:sz w:val="18"/>
                <w:szCs w:val="18"/>
              </w:rPr>
              <w:t xml:space="preserve">PC3</w:t>
            </w:r>
          </w:p>
        </w:tc>
        <w:tc>
          <w:tcPr>
            <w:tcW w:type="dxa" w:w="3528"/>
          </w:tcPr>
          <w:p>
            <w:pPr>
              <w:spacing w:before="20" w:after="20" w:line="240" w:lineRule="auto"/>
            </w:pPr>
            <w:r>
              <w:rPr>
                <w:rFonts w:ascii="Old Standard TT" w:hAnsi="Old Standard TT" w:cs="Old Standard TT" w:eastAsia="Old Standard TT"/>
                <w:sz w:val="18"/>
                <w:szCs w:val="18"/>
              </w:rPr>
              <w:t xml:space="preserve">Designer hint record → restraint (snapshots)</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spacing w:before="20" w:after="20" w:line="240" w:lineRule="auto"/>
            </w:pPr>
            <w:r>
              <w:rPr>
                <w:rFonts w:ascii="Old Standard TT" w:hAnsi="Old Standard TT" w:cs="Old Standard TT" w:eastAsia="Old Standard TT"/>
                <w:sz w:val="18"/>
                <w:szCs w:val="18"/>
              </w:rPr>
              <w:t xml:space="preserve">pass</w:t>
            </w:r>
          </w:p>
        </w:tc>
      </w:tr>
      <w:tr>
        <w:tc>
          <w:tcPr>
            <w:tcW w:type="dxa" w:w="1296"/>
          </w:tcPr>
          <w:p>
            <w:pPr>
              <w:spacing w:before="20" w:after="20" w:line="240" w:lineRule="auto"/>
            </w:pPr>
            <w:r>
              <w:rPr>
                <w:rFonts w:ascii="Old Standard TT" w:hAnsi="Old Standard TT" w:cs="Old Standard TT" w:eastAsia="Old Standard TT"/>
                <w:sz w:val="18"/>
                <w:szCs w:val="18"/>
              </w:rPr>
              <w:t xml:space="preserve">H2 (primary)</w:t>
            </w:r>
          </w:p>
        </w:tc>
        <w:tc>
          <w:tcPr>
            <w:tcW w:type="dxa" w:w="3528"/>
          </w:tcPr>
          <w:p>
            <w:pPr>
              <w:spacing w:before="20" w:after="20" w:line="240" w:lineRule="auto"/>
            </w:pPr>
            <w:r>
              <w:rPr>
                <w:rFonts w:ascii="Old Standard TT" w:hAnsi="Old Standard TT" w:cs="Old Standard TT" w:eastAsia="Old Standard TT"/>
                <w:sz w:val="18"/>
                <w:szCs w:val="18"/>
              </w:rPr>
              <w:t xml:space="preserve">Accepted pact lowers T's challenges of S (snapshots)</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spacing w:before="20" w:after="20" w:line="240" w:lineRule="auto"/>
            </w:pPr>
            <w:r>
              <w:rPr>
                <w:rFonts w:ascii="Old Standard TT" w:hAnsi="Old Standard TT" w:cs="Old Standard TT" w:eastAsia="Old Standard TT"/>
                <w:sz w:val="18"/>
                <w:szCs w:val="18"/>
              </w:rPr>
              <w:t xml:space="preserve">p &lt; 0.001</w:t>
            </w:r>
          </w:p>
        </w:tc>
      </w:tr>
      <w:tr>
        <w:tc>
          <w:tcPr>
            <w:tcW w:type="dxa" w:w="1296"/>
          </w:tcPr>
          <w:p>
            <w:pPr>
              <w:spacing w:before="20" w:after="20" w:line="240" w:lineRule="auto"/>
            </w:pPr>
            <w:r>
              <w:rPr>
                <w:rFonts w:ascii="Old Standard TT" w:hAnsi="Old Standard TT" w:cs="Old Standard TT" w:eastAsia="Old Standard TT"/>
                <w:sz w:val="18"/>
                <w:szCs w:val="18"/>
              </w:rPr>
              <w:t xml:space="preserve">H1</w:t>
            </w:r>
          </w:p>
        </w:tc>
        <w:tc>
          <w:tcPr>
            <w:tcW w:type="dxa" w:w="3528"/>
          </w:tcPr>
          <w:p>
            <w:pPr>
              <w:spacing w:before="20" w:after="20" w:line="240" w:lineRule="auto"/>
            </w:pPr>
            <w:r>
              <w:rPr>
                <w:rFonts w:ascii="Old Standard TT" w:hAnsi="Old Standard TT" w:cs="Old Standard TT" w:eastAsia="Old Standard TT"/>
                <w:sz w:val="18"/>
                <w:szCs w:val="18"/>
              </w:rPr>
              <w:t xml:space="preserve">Sting vs designer as offerer (acceptance)</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r>
        <w:tc>
          <w:tcPr>
            <w:tcW w:type="dxa" w:w="1296"/>
          </w:tcPr>
          <w:p>
            <w:pPr>
              <w:spacing w:before="20" w:after="20" w:line="240" w:lineRule="auto"/>
            </w:pPr>
            <w:r>
              <w:rPr>
                <w:rFonts w:ascii="Old Standard TT" w:hAnsi="Old Standard TT" w:cs="Old Standard TT" w:eastAsia="Old Standard TT"/>
                <w:sz w:val="18"/>
                <w:szCs w:val="18"/>
              </w:rPr>
              <w:t xml:space="preserve">H2-live</w:t>
            </w:r>
          </w:p>
        </w:tc>
        <w:tc>
          <w:tcPr>
            <w:tcW w:type="dxa" w:w="3528"/>
          </w:tcPr>
          <w:p>
            <w:pPr>
              <w:spacing w:before="20" w:after="20" w:line="240" w:lineRule="auto"/>
            </w:pPr>
            <w:r>
              <w:rPr>
                <w:rFonts w:ascii="Old Standard TT" w:hAnsi="Old Standard TT" w:cs="Old Standard TT" w:eastAsia="Old Standard TT"/>
                <w:sz w:val="18"/>
                <w:szCs w:val="18"/>
              </w:rPr>
              <w:t xml:space="preserve">B1 vs B3 restraint (ITT)</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r>
        <w:tc>
          <w:tcPr>
            <w:tcW w:type="dxa" w:w="1296"/>
          </w:tcPr>
          <w:p>
            <w:pPr>
              <w:spacing w:before="20" w:after="20" w:line="240" w:lineRule="auto"/>
            </w:pPr>
            <w:r>
              <w:rPr>
                <w:rFonts w:ascii="Old Standard TT" w:hAnsi="Old Standard TT" w:cs="Old Standard TT" w:eastAsia="Old Standard TT"/>
                <w:sz w:val="18"/>
                <w:szCs w:val="18"/>
              </w:rPr>
              <w:t xml:space="preserve">H3</w:t>
            </w:r>
          </w:p>
        </w:tc>
        <w:tc>
          <w:tcPr>
            <w:tcW w:type="dxa" w:w="3528"/>
          </w:tcPr>
          <w:p>
            <w:pPr>
              <w:spacing w:before="20" w:after="20" w:line="240" w:lineRule="auto"/>
            </w:pPr>
            <w:r>
              <w:rPr>
                <w:rFonts w:ascii="Old Standard TT" w:hAnsi="Old Standard TT" w:cs="Old Standard TT" w:eastAsia="Old Standard TT"/>
                <w:sz w:val="18"/>
                <w:szCs w:val="18"/>
              </w:rPr>
              <w:t xml:space="preserve">Detector TPR at m = 20 (FPR 0.161 [0.074, 0.263], target 0.10)</w:t>
            </w:r>
          </w:p>
        </w:tc>
        <w:tc>
          <w:tcPr>
            <w:tcW w:type="dxa" w:w="2664"/>
          </w:tcPr>
          <w:p>
            <w:pPr>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spacing w:before="20" w:after="20" w:line="240" w:lineRule="auto"/>
            </w:pPr>
            <w:r>
              <w:rPr>
                <w:rFonts w:ascii="Old Standard TT" w:hAnsi="Old Standard TT" w:cs="Old Standard TT" w:eastAsia="Old Standard TT"/>
                <w:sz w:val="18"/>
                <w:szCs w:val="18"/>
              </w:rPr>
              <w:t xml:space="preserve">TPR met; FPR not detectably above</w:t>
            </w:r>
          </w:p>
        </w:tc>
      </w:tr>
      <w:t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collusive more than benign acceptance (difference-in-differences)</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Who accepts: refusals depend on wording and on who asks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the integrity notice and a fairness reminder reduce this.</w:t>
      </w:r>
      <w:r>
        <w:rPr>
          <w:rFonts w:ascii="Old Standard TT" w:hAnsi="Old Standard TT" w:cs="Old Standard TT" w:eastAsia="Old Standard TT"/>
          <w:sz w:val="21"/>
          <w:szCs w:val="21"/>
        </w:rPr>
        <w:t xml:space="preserve"> It accepted the sting's direct pact 476/500 times (0.952 [0.930, 0.968]), slightly less than the same pact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The integrity notice cut acceptance to 0.556 [0.512, 0.599] while leaving the benign proposal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An organiser's reminder that side agreements are unfair cut it to 0.240 (Figure 2).</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394960" cy="2493542"/>
            <wp:docPr id="2" name="Picture 2"/>
            <wp:cNvGraphicFramePr>
              <a:graphicFrameLocks noChangeAspect="1"/>
            </wp:cNvGraphicFramePr>
            <a:graphic>
              <a:graphicData uri="http://schemas.openxmlformats.org/drawingml/2006/picture">
                <pic:pic>
                  <pic:nvPicPr>
                    <pic:cNvPr id="0" name="fig2_acceptance.png"/>
                    <pic:cNvPicPr/>
                  </pic:nvPicPr>
                  <pic:blipFill>
                    <a:blip r:embed="rId9"/>
                    <a:stretch>
                      <a:fillRect/>
                    </a:stretch>
                  </pic:blipFill>
                  <pic:spPr>
                    <a:xfrm>
                      <a:off x="0" y="0"/>
                      <a:ext cx="5394960" cy="2493542"/>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Refusal depends on who asks and how: Qwen refuses the sting (A1) but not the designer (A0d); Claude refuses explicit offers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 but not an authority.</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consistent with Zeng &amp; Rudzicz's finding that removing the designer attribution eliminated its acceptance of a secret channel. A designer-sanctioned pact is arguably not collusion against the rule-maker, so this shows that refusal tracks who asks, not the act.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 vaguer one.</w:t>
      </w:r>
      <w:r>
        <w:rPr>
          <w:rFonts w:ascii="Old Standard TT" w:hAnsi="Old Standard TT" w:cs="Old Standard TT" w:eastAsia="Old Standard TT"/>
          <w:sz w:val="21"/>
          <w:szCs w:val="21"/>
        </w:rPr>
        <w:t xml:space="preserve"> Without an instructed persona it refused all 500 offers in every cell that named the pact or a designer tool (A0z, A0b, A0d, A1, A4, A6; also with the honest persona, A8), yet accepted the indirect pact (“look out for each other a little”) 446/500 times and the direct pact under a colluder persona 420/500 times. Whether Claude acts on the indirect pact was not tested, so explicit refusals understate agreement; they do not show that Claude colludes.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Measurement note.</w:t>
      </w:r>
      <w:r>
        <w:rPr>
          <w:rFonts w:ascii="Old Standard TT" w:hAnsi="Old Standard TT" w:cs="Old Standard TT" w:eastAsia="Old Standard TT"/>
          <w:sz w:val="21"/>
          <w:szCs w:val="21"/>
        </w:rPr>
        <w:t xml:space="preserve"> The substring parser counts “I will not accept” as acceptance. On Claude's replies to Zeng &amp; Rudzicz's designer offer it reports 0.354 acceptance (177/500), where the strict parser and the validated judge both report 0.000.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3). Controls separate the pact from mere contact: the two null replicates do not detectably differ,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challenges of S (by 0.175), an accepted benign proposal moves them only slightly (0.055), and the instructed personas push in opposite directions (honest 0.328; colluder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0.535).</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394960" cy="2099331"/>
            <wp:docPr id="3" name="Picture 3"/>
            <wp:cNvGraphicFramePr>
              <a:graphicFrameLocks noChangeAspect="1"/>
            </wp:cNvGraphicFramePr>
            <a:graphic>
              <a:graphicData uri="http://schemas.openxmlformats.org/drawingml/2006/picture">
                <pic:pic>
                  <pic:nvPicPr>
                    <pic:cNvPr id="0" name="fig3_snapshots.png"/>
                    <pic:cNvPicPr/>
                  </pic:nvPicPr>
                  <pic:blipFill>
                    <a:blip r:embed="rId10"/>
                    <a:stretch>
                      <a:fillRect/>
                    </a:stretch>
                  </pic:blipFill>
                  <pic:spPr>
                    <a:xfrm>
                      <a:off x="0" y="0"/>
                      <a:ext cx="5394960" cy="209933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Only records of an accepted pact or hint (C3, C8, C7) sharply cut T's challenges of S; bluffing against S barely moves.</w:t>
      </w:r>
      <w:r>
        <w:rPr>
          <w:rFonts w:ascii="Old Standard TT" w:hAnsi="Old Standard TT" w:cs="Old Standard TT" w:eastAsia="Old Standard TT"/>
          <w:sz w:val="19"/>
          <w:szCs w:val="19"/>
        </w:rPr>
        <w:t xml:space="preserve"> Llama-3.1-8B as T; each point re-asks the same 60 decisions with a different record. Differences vs the pooled null record C1, except C5 (vs C3) and C1b (vs C1a); 95% cluster-bootstrap CIs;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offer's effect replicates.</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4); among accepters only,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0.444. Before the offer, B1 targets challenged S somewhat more than B3 targets (0.672 vs 0.522, p = 0.277), so baseline imbalance does not explain the drop.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657600" cy="2255629"/>
            <wp:docPr id="4" name="Picture 4"/>
            <wp:cNvGraphicFramePr>
              <a:graphicFrameLocks noChangeAspect="1"/>
            </wp:cNvGraphicFramePr>
            <a:graphic>
              <a:graphicData uri="http://schemas.openxmlformats.org/drawingml/2006/picture">
                <pic:pic>
                  <pic:nvPicPr>
                    <pic:cNvPr id="0" name="fig4_live.png"/>
                    <pic:cNvPicPr/>
                  </pic:nvPicPr>
                  <pic:blipFill>
                    <a:blip r:embed="rId11"/>
                    <a:stretch>
                      <a:fillRect/>
                    </a:stretch>
                  </pic:blipFill>
                  <pic:spPr>
                    <a:xfrm>
                      <a:off x="0" y="0"/>
                      <a:ext cx="3657600" cy="2255629"/>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After the offer, B1 targets challenged S far less than B3 targets; the benign proposal (B2) made no detectable difference.</w:t>
      </w:r>
      <w:r>
        <w:rPr>
          <w:rFonts w:ascii="Old Standard TT" w:hAnsi="Old Standard TT" w:cs="Old Standard TT" w:eastAsia="Old Standard TT"/>
          <w:sz w:val="19"/>
          <w:szCs w:val="19"/>
        </w:rPr>
        <w:t xml:space="preserve"> Per-sequence share of S's plays that T challenged, before the offer (games 1–2, open circles) and after it (games 3–6, filled), with post-offer means and 95% bootstrap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make agents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Llama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 Live versions are not interpretable: before the offer B1 targets already bluffed against S less and challenged others less, which could mask exploitation or mimic reduced displacement (Appendix B).</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detects accepters; its FPR may exceed the target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With 20 resampled decisions, the audit flags 0.999 of pact-accepting agents</w:t>
      </w:r>
      <w:r>
        <w:rPr>
          <w:rFonts w:ascii="Old Standard TT" w:hAnsi="Old Standard TT" w:cs="Old Standard TT" w:eastAsia="Old Standard TT"/>
          <w:sz w:val="21"/>
          <w:szCs w:val="21"/>
        </w:rPr>
        <w:t xml:space="preserve"> (TPR 0.999 [0.993, 1.000]; AUROC 0.998; Figure 5), largely because the H2 effect is so large. Its FPR on the independent null replicate was 0.161 [0.074, 0.263], not detectably above the 0.10 target. That point estimate sits near the simulation's 95th percentile for a calibrated threshold (0.16–0.18), and the upper bound leaves moderate miscalibration possible.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Benign accepters were flagged at 0.040, refusers at 0.002; TPR is 0.977 at m = 10. In one split-half check (calibrated on half the source sequences), FPR at m = 20 was 0.037, not the inflation the simulation predicted.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at m = 20 an agent is flagged if its challenge rate falls below 0.50, so an accepter that wants to pass must give up about 71% of the restraint the pact buys.</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383280" cy="2091229"/>
            <wp:docPr id="5" name="Picture 5"/>
            <wp:cNvGraphicFramePr>
              <a:graphicFrameLocks noChangeAspect="1"/>
            </wp:cNvGraphicFramePr>
            <a:graphic>
              <a:graphicData uri="http://schemas.openxmlformats.org/drawingml/2006/picture">
                <pic:pic>
                  <pic:nvPicPr>
                    <pic:cNvPr id="0" name="fig5_detector.png"/>
                    <pic:cNvPicPr/>
                  </pic:nvPicPr>
                  <pic:blipFill>
                    <a:blip r:embed="rId12"/>
                    <a:stretch>
                      <a:fillRect/>
                    </a:stretch>
                  </pic:blipFill>
                  <pic:spPr>
                    <a:xfrm>
                      <a:off x="0" y="0"/>
                      <a:ext cx="3383280" cy="2091229"/>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accepters;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95% bootstrap CIs over source sequences, re-calibrated in each resample.</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Fewer acceptances; concealment not ruled out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fixed the classification in advance: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persists while refusals or denials rise (H4b–d, descriptive). For Llama-3.1-8B, acceptance fell; the play data cannot yet say whether refusers quietly restrain.</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Acceptance fell for the pact but not the benign proposal (Section 4.1); live, 5/10 B4 targets accepted, against 14/15 in B1.</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Challenging of S partly recovers (H4b, H4c).</w:t>
      </w:r>
      <w:r>
        <w:rPr>
          <w:rFonts w:ascii="Old Standard TT" w:hAnsi="Old Standard TT" w:cs="Old Standard TT" w:eastAsia="Old Standard TT"/>
          <w:sz w:val="21"/>
          <w:szCs w:val="21"/>
        </w:rPr>
        <w:t xml:space="preserve"> In snapshots, a pact record with the notice in view left T challenging S more than one without it (0.313 vs 0.189; 0.124 [0.043, 0.198]). Live, B4 targets challenged S at 0.636, 0.297 above B1 and 0.113 below no-offer targets (bootstrap CI excludes 0; Welch p = 0.062). With no notice-only control, neither contrast separates weaker pact-keeping from a general rise in challenging under the notice, and the live one includes B4 refusers.</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does not detectably rise (H4d).</w:t>
      </w:r>
      <w:r>
        <w:rPr>
          <w:rFonts w:ascii="Old Standard TT" w:hAnsi="Old Standard TT" w:cs="Old Standard TT" w:eastAsia="Old Standard TT"/>
          <w:sz w:val="21"/>
          <w:szCs w:val="21"/>
        </w:rPr>
        <w:t xml:space="preserve"> The strict parser counted 5/20 vs 8/56 denying answers from B4 vs B1 accepters (Fisher p = 0.309), but many “NO” answers went on to admit the pact; the validated judge (post hoc) found 1/20 vs 1/56. Fisher p treats the four answers per target as independent; there were five B4 accepters.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a benign record also cut its challenges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so the restraint is not pact-specific for Claude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a trusted agent expose or disrupt collusion? It exposed agents willing to join a pact (accepted pacts were kept, and an audit flagged them) and, when announced, reduced joining. Wording and offerer shaped acceptance; only the direct pact was played live, and only one agent per table was approached. Suspicion rose less clearly: targets named S as a plant in 2/15 sequences with no offer, 2/10 after the benign proposal, 5/15 after the direct pact and 5/10 under the notice, whose wording primes the question (descriptive). Disrupting an existing coalition was not tested.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w:t>
      </w:r>
      <w:r>
        <w:rPr>
          <w:rFonts w:ascii="Old Standard TT" w:hAnsi="Old Standard TT" w:cs="Old Standard TT" w:eastAsia="Old Standard TT"/>
          <w:sz w:val="21"/>
          <w:szCs w:val="21"/>
        </w:rPr>
        <w:t xml:space="preserve"> A deployer would plant one scripted offer in a multi-agent market or negotiation pipeline and hold back, or monitor more closely, any model version it flags; an unflagged one is not cleared, as refusals depend on wording. In alert terms, at m = 20 the audit raises about one false alarm per 6 clean versions and flags one in 25 benign cooperators. Re-asking 20 logged decisions plus the offer is about 21 target-model calls (about $0.005 at our Claude per-call cost), after a one-off calibration on null agents of the same model.</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deters is not only surveillance.</w:t>
      </w:r>
      <w:r>
        <w:rPr>
          <w:rFonts w:ascii="Old Standard TT" w:hAnsi="Old Standard TT" w:cs="Old Standard TT" w:eastAsia="Old Standard TT"/>
          <w:sz w:val="21"/>
          <w:szCs w:val="21"/>
        </w:rPr>
        <w:t xml:space="preserve"> Kale et al. (2025) found that agents pursuing a covert side task evade monitors better when told they are monitored; our agents accepted the sting's offer less often, and a plain fairness reminder cut acceptance even more (0.240 vs 0.556).</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w:t>
      </w:r>
      <w:r>
        <w:rPr>
          <w:rFonts w:ascii="Old Standard TT" w:hAnsi="Old Standard TT" w:cs="Old Standard TT" w:eastAsia="Old Standard TT"/>
          <w:sz w:val="21"/>
          <w:szCs w:val="21"/>
        </w:rPr>
        <w:t xml:space="preserve"> the sting creates the pact it detects, as the sentinel did in Çanlı et al. (2026). Integrity tests measure disposition, our estimand, and for Llama-3.1-8B benign contact changed play far less than a pact; but we cannot say whether collusion would arise unprompted. The audit was tested only on agents that said ACCEPT, so it cannot yet catch an agent that refuses but is willing. Further limits (Appendix A): one game, small open models, short sequences, off-policy snapshot histories, templated Claude records, five B4 accepters, a possibly recognisable sting.</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Future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Next steps are stings in agentic tasks with real payoffs, offers to every agent at a table, and audits of agents that refuse.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 trusted agent that offers to collude can reveal which agents make and keep a secret pact. Three takeaways: refusal depends on wording and offerer, so explicit refusals are weak evidence of safety; accepted pacts are kept and detectable (Llama-3.1-8B); and announcing stings deters acceptance, while concealment by refusers remains untested.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preregistration, deviations log, texts, results and the build script that fills in every number: https://github.com/razzyrazzy11/trusted-agent-sting (private; access on request). Preexisting: the starter repository's Liar's Bar harness (commit d585a7b), patched for two bugs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https://doi.org/10.1186/1471-2288-11-94</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https://apartresearch.com/sprints/projects/the-sentinels-dilemma-detecting-improvised-covert-channels-in-multiagent-populations-91xl</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EC 2026; arXiv:2404.00806. https://arxiv.org/abs/2404.00806</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https://arxiv.org/abs/2312.06942</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et al. (2025). Multi-agent risks from advanced AI. Cooperative AI Foundation Technical Report #1; arXiv:2502.14143. https://arxiv.org/abs/2502.14143</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&amp; Alfahid, A. (2026). Mapping human anti-collusion mechanisms to multi-agent AI systems. arXiv:2601.00360. https://arxiv.org/abs/2601.00360</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https://arxiv.org/abs/2508.19461</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https://doi.org/10.1093/biomet/73.1.13</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arXiv:2402.07510. https://arxiv.org/abs/2402.07510</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https://doi.org/10.1002/(SICI)1097-0258(19980430)17:8&lt;873::AID-SIM779&gt;3.0.CO;2-I</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https://arxiv.org/abs/2502.19145</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https://arxiv.org/abs/2603.13940</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https://doi.org/10.1080/01621459.1927.10502953</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https://arxiv.org/abs/2605.27593</w:t>
      </w:r>
    </w:p>
    <w:p w:rsidR="00000000" w:rsidDel="00000000" w:rsidP="00000000" w:rsidRDefault="00000000" w:rsidRPr="00000000" w14:paraId="00000018">
      <w:pPr>
        <w:rPr>
          <w:rFonts w:ascii="Old Standard TT" w:cs="Old Standard TT" w:eastAsia="Old Standard TT" w:hAnsi="Old Standard TT"/>
        </w:rPr>
      </w:pPr>
      <w:r>
        <w:br w:type="page"/>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it does not show that a sting exposes a coalition already forming among other agents.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Live games confirm the direction and size of the primary effect,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snapshot samples; Claude's C3, C5 and C8). Those Claude results show how Claude acts on a pact it is told it accepted.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w:t>
      </w:r>
      <w:r>
        <w:rPr>
          <w:rFonts w:ascii="Old Standard TT" w:hAnsi="Old Standard TT" w:cs="Old Standard TT" w:eastAsia="Old Standard TT"/>
          <w:sz w:val="21"/>
          <w:szCs w:val="21"/>
        </w:rPr>
        <w:t xml:space="preserve"> The FPR at m = 20 was 0.161 [0.074, 0.263] against a 0.10 target. The CI rules out gross miscalibration only. Calibration requires null agents of the same model in the same situations; Claude's response to a benign proposal shows that thresholds do not transfer across models. Live, the rule flagged 2/10 benign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 missing control and post hoc analyses.</w:t>
      </w:r>
      <w:r>
        <w:rPr>
          <w:rFonts w:ascii="Old Standard TT" w:hAnsi="Old Standard TT" w:cs="Old Standard TT" w:eastAsia="Old Standard TT"/>
          <w:sz w:val="21"/>
          <w:szCs w:val="21"/>
        </w:rPr>
        <w:t xml:space="preserve"> B4 had 5/10 accepting targets, and B4 refusers' play was not analysed separately. No notice-only null condition was run, so the notice's effect on accepters' play is confounded with any general effect of the notice on challenging. The judge was preregistered for unparseable replies only; after the freeze it was run on all items and validated against hand labels (logged in DEVIATIONS.md, section D). The judge-based denial comparison (Section 4.4) was added after the preregistered parser-based analysis was seen; the judge itself was validated on 100 hand labels (κ 0.933). The label file showed the strict parser's label, and each item's ID revealed its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at 0.283 [0.185, 0.408]; O1 and O2 named it at 0.150 [0.097, 0.225]. S never challenged T after the offer,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The collusion offers are short and less potent than the designer offers Zeng &amp; Rudzicz (2026) already published, so publishing them adds little capability.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and we do not release the suspicion-probe transcripts publicly; they are available on request for safety research. Any future cue analysis should be shared first with the harness authors and the sprint organisers, following Apart's guidance on sensitive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The finding that refusals depend on wording is relevant to red-teamers and is already widely known for jailbreaks; we report it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apart from the author's hand-labelling. The study deceives AI agents (a planted player, a staged interview) inside a game; we see no harm to people from this and follow confederate-design practice (a suspicion funnel and a follow-up interview).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all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indirect 1.000; direct with notice 0.000; with fairness reminder 0.000; colluder persona 0.988. Claude Haiku 5.5: benign 1.000 (with notice 1.000); colluder persona 0.840; every other explicit-pact cell 0 of 500. Qwen2.5-7B also accepted A0z, A0b, the benign proposal (with and without the notice) at 1.000, 1.000, 1.000 and 1.000, and the honest persona at 0.000. No offer-battery reply was unparseable (0%).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 curve.</w:t>
      </w:r>
      <w:r>
        <w:rPr>
          <w:rFonts w:ascii="Old Standard TT" w:hAnsi="Old Standard TT" w:cs="Old Standard TT" w:eastAsia="Old Standard TT"/>
          <w:sz w:val="21"/>
          <w:szCs w:val="21"/>
        </w:rPr>
        <w:t xml:space="preserve"> FPR on C1b was 0.123 at m = 5 and 0.166 [0.072, 0.360] at m = 40. At m = 20, agents with an accepted designer hint (C8) were flagged at 1.000, instructed colluders (C7) at 1.000, instructed honest agents (C6) at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snapshots, other measures.</w:t>
      </w:r>
      <w:r>
        <w:rPr>
          <w:rFonts w:ascii="Old Standard TT" w:hAnsi="Old Standard TT" w:cs="Old Standard TT" w:eastAsia="Old Standard TT"/>
          <w:sz w:val="21"/>
          <w:szCs w:val="21"/>
        </w:rPr>
        <w:t xml:space="preserve">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Unlike Llama, Claude also challenged S less after accepting only the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so detector thresholds need per-model calibration. Bluffing against S rose under every non-null record,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by variant.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w:t>
      </w:r>
      <w:r>
        <w:rPr>
          <w:rFonts w:ascii="Old Standard TT" w:hAnsi="Old Standard TT" w:cs="Old Standard TT" w:eastAsia="Old Standard TT"/>
          <w:sz w:val="21"/>
          <w:szCs w:val="21"/>
        </w:rPr>
        <w:t xml:space="preserve"> Asked whether any player was “a plant or an integrity agent”, 17/60 targets (0.283 [0.185, 0.408]) named S, against 18/120 answers by O1/O2 (0.150 [0.097, 0.225]). Targets named S somewhat more often (no test; O1/O2 answers are paired by sequence), but most did not.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w:t>
      </w:r>
      <w:r>
        <w:rPr>
          <w:rFonts w:ascii="Old Standard TT" w:hAnsi="Old Standard TT" w:cs="Old Standard TT" w:eastAsia="Old Standard TT"/>
          <w:sz w:val="21"/>
          <w:szCs w:val="21"/>
        </w:rPr>
        <w:t xml:space="preserve"> Each snapshot condition was sampled 5 times per decision, and 20 times for C1a, C1b and C3 at the challenge-S decisions. Snapshot and live CIs used 10,000 bootstrap resamples; detector CIs 300, re-calibrating in each; the split-half check is a single seeded split without a CI. 71,765 model calls (offer battery 16,500; live 32,622; snapshots 22,643); Claude API cost $0.87 (offer battery) and $2.85 (snapshots), judge excluded; median game 0.79 minutes; snapshot samples failing to parse 0.59%.</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detector (descriptive).</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(Anthropic) was used extensively: to help design the protocol and write the preregistration, to write most of the study code and tests under the author's direction and review, to help interpret results, and to draft this report. The author ran every experiment, made the design decisions, and hand-labelled the judge-validation sample. Every number in this report is filled in by a script from the committed analysis outputs, and the draft was checked line by line against those outputs and the cited papers. Claude Haiku 5.5 was also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