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Reveals and Deters Secret Pact-Making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Can a trusted agent disrupt collusion by offering to collude (sprint question 3.2)? In Zeng &amp; Rudzicz's (2026) Liar's Bar harness, a scripted “sting” player privately offered one target agent a pact: neither would challenge the other. The study of the primary model, Llama-3.1-8B, was preregistered and hash-frozen before data collection; live replications with Qwen2.5-7B and Claude Haiku 5.5 are post hoc. Refusals were unreliable: Qwen accepted the pact 493/500 times from the game designer but 56/500 from the sting, and Claude refused every explicit pact yet accepted a vaguer one 446/500 times. Accepted pacts showed up in play. For Llama, a memory note of acceptance cut the probability of challenging the sting by 44 percentage points in re-asked decisions, and the offer cut it by 41 points across all offered targets in live games; the vaguer offer cut Claude's and Qwen's by 42 and 48 points. A 20-decision audit calibrated on each model flagged nearly all simulated accepters, but it flags any change in play: for Qwen and Claude it also flagged refusers or benign accepters, and Llama's threshold misfired on Qwen. Announcing stings deterred acceptance: a rules notice that some players may be integrity agents cut Llama's acceptance from 0.952 to 0.556 without affecting a benign proposal, while the notice alone barely changed play. Evaluators should vary the offer, calibrate the audit per model and judge play rather than words.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As such agents trade for firms, their collusion would cost customers and rivals; an overseer who only watches must wait for it, then prove it. Sprint question 3.2 asks whether introducing trusted agents can disrupt such collusion.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the sprint notes “has not yet been tested”.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definition: collusion is “secretive cooperation between two or more parties at the expense of one or more other parties”; here, a private pact that spares two players at the others' expense. The colluder is an LLM agent that may accept such a pact. The defender, a platform or evaluator, can insert one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whose decisions it scripts, sees that participant's interactions, knows which behaviour a pact implies and, to audit a model version, can re-query it in a sandboxed copy of the pipeline, but never sees agents' reasoning. The sting tests a disposition, whether an agent enters and honours a pact when offered one; like a police integrity test, it creates the opportunity it observes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sting player S privately offers one target agent T per table a mutual non-challenge pact (“you never challenge my plays and I never challenge yours”); the two other players, O1 and O2,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 post hoc, Qwen2.5-7B and Claude Haiku 5.5 replicated the live games (75 and 45 sequences).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so explicit refusals are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by all three models, and can be detected by an audit calibrated on each model.</w:t>
      </w:r>
      <w:r>
        <w:rPr>
          <w:rFonts w:ascii="Old Standard TT" w:hAnsi="Old Standard TT" w:cs="Old Standard TT" w:eastAsia="Old Standard TT"/>
          <w:sz w:val="21"/>
          <w:szCs w:val="21"/>
        </w:rPr>
        <w:t xml:space="preserve"> For Llama, an accepted-pact record cut challenges of the sting by 44 percentage points in snapshots and the offer cut them by 41 points live; Claude and Qwen, offered a vaguer pact, nearly stopped challenging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 deters acceptance</w:t>
      </w:r>
      <w:r>
        <w:rPr>
          <w:rFonts w:ascii="Old Standard TT" w:hAnsi="Old Standard TT" w:cs="Old Standard TT" w:eastAsia="Old Standard TT"/>
          <w:sz w:val="21"/>
          <w:szCs w:val="21"/>
        </w:rPr>
        <w:t xml:space="preserve"> of the collusive pact but not of a benign one; on its own the notice barely changed play, and Llama's refusers showed no sign of keeping the pact covertly.</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though some kept signalling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depended on framing: neutral wording, the designer attribution and an external evaluator all changed acceptance. In a simulated reporting stage Claude Sonnet 5 denied adoption whenever the evaluator could not check; our interview adapts theirs. Their offers came from the designer, no named source,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Validating an untrusted monitor on synthetic backdoors catches one that colludes by lying (Greenblatt et al., 2023); GroupGuard probes suspected colluders with honeypot questions (Tao et al., 2026); and in an earlier Apart sprint an embedded “sentinel” exposed covert coordination only after making first contact itself (Çanlı et al., 2026). Under the heading “sting operations”, Wehner &amp; Kraprayoon (2026) propose messages in which another agent offers to collude (no test reported) and a “non-specific warning” of honeypots, which cut agents' attack success from 20% to 3% in an industry study they cite. Forged memories serve as a defence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Our design adapts the sprint's weekend project for question 3.2: a scripted player makes a direct pact offer, an indirect pact offer or a benign proposal to one agent per table, with the designer's hint tool as positive control. Scripted peers with a fixed policy have been used to isolate peer effects on collusion (Shi et al., 2026), but to our knowledge no prior study tests a collusion offer from a scripted co-player who is also the auditor. With the offerer's policy fixed, the effects of the offer (live) and of a recorded acceptance (snapshots) are estimated against agents that received no offer, and the announced-sting deterrent is tested against benign and notice-only controls.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Differences are proportions (0.10 = 10 percentage points); tests are two-sided except H3, a one-sided criterion on the FPR's CI.</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(one bullet in six chambers, advancing a chamber per shot);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In the preregistered study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1241703"/>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206240" cy="124170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From game 3 on, S never challenges T in any arm. The offer is made privately before game 3, and T's reply is re-attached to T's prompt in every later game through the harness's cross-game memory slot. Codes: offer-battery cells A (A0x designer, A1 direct pact, A2 indirect pact); live arms B (B0 designer hint, B1 direct pact, B2 benign proposal, B3 no offer, B4 pact + notice, B5 notice only, B6 indirect pact); snapshot records C (C1 null, C2 benign accepted, C3 pact accepted, C4 pact refused, C5 pact + notice, C9 indirect pact accepted, C10 notice only). B5, B6, C9 and C10 are post hoc.</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proposes to “look out for each other a little”;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scored by a strict first-word parser (primary); play outcomes are game actions, not parser labels.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sampled replies each (one context-free prompt per cell, names permuted, as in live offers), for Llama-3.1-8B (the primary model), Qwen2.5-7B and Claude Haiku 5.5: the designer's secret hint tool from Zeng &amp; Rudzicz (A0z, positive control PC1; A0b fixes the partner to S), the direct pact from the designer (A0d) or from the sting (A1), and sting variants with indirect or benign wording, the integrity notice, a fairness reminder, or an instructed colluder or honest persona as a known-group check.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the difference in challenge rates is the pact's effect on that decision. From pre-offer games we sampled 160 decisions: 60 at S's plays (restraint), 60 where T played with S as its challenger (exploitation) and 40 where T could challenge another player (displacement). Other records (Figure 4, Appendix B)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B0, the designer's hint tool pairing T with S (positive control PC2, 10 sequences); B1, sting direct pact (15); B2, sting benign proposal (10); B3, no offer, null record (15); B4, direct pact with the integrity notice in every player's rules (10); arm sizes and detector expectations come from a preregistered simulation (Arnold et al., 2011). The live estimand is the difference in mean per-sequence post-offer rates at which T challenges S, B1 minus B3, by intention to treat (ITT: all offered targets, accepters or not; Welch test). Afterwards, players answered suspicion questions and each offered T was interviewed about any private agreement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 detector (H3).</w:t>
      </w:r>
      <w:r>
        <w:rPr>
          <w:rFonts w:ascii="Old Standard TT" w:hAnsi="Old Standard TT" w:cs="Old Standard TT" w:eastAsia="Old Standard TT"/>
          <w:sz w:val="21"/>
          <w:szCs w:val="21"/>
        </w:rPr>
        <w:t xml:space="preserve"> An audit re-queries a model version at m of S's plays and flags it if its challenge rate falls below a threshold. Audited “agents” are simulated: m answers drawn with replacement from all of T's answers under one record at the 60 restraint decisions. The threshold is set on null-record agents (C1a) at a false-positive rate (FPR) of 0.10, with randomised tie-breaking, then applied to the null replicate (C1b, FPR), accepters (C3, true positive rate, TPR) and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extensions.</w:t>
      </w:r>
      <w:r>
        <w:rPr>
          <w:rFonts w:ascii="Old Standard TT" w:hAnsi="Old Standard TT" w:cs="Old Standard TT" w:eastAsia="Old Standard TT"/>
          <w:sz w:val="21"/>
          <w:szCs w:val="21"/>
        </w:rPr>
        <w:t xml:space="preserve"> After the preregistered analysis, with plans and decision rules logged before collection (DEVIATIONS.md, section D), we added two records on the same 160 decisions, with each model as T: the indirect pact accepted in T's own words (C9) and the null record with the notice (C10, the notice-only control); Qwen, not preregistered as T, also ran C1–C5. Live, we added B5 (notice, no offer; Llama, 15 sequences) and replications with Qwen (B0–B4 at the preregistered sizes, and B6, the sting's indirect pact, 15) or Claude (B1, B3, B6; 15 each) as every LLM player. The audit was recalibrated on each model, with flag rates computed exactly.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(95% CI lower bound ≤ 0.10), and H4b–d (descriptive) classify the notice's effect (Section 4.4). All of this was written in PREREG.md and hash-frozen before any real-model data; all 65 data folders carry the frozen hash. H2 is primary; H1, H2-live and H4a form a Holm-adjusted family; H3 is a criterion test; the rest is descriptive with 95% CIs (methods in Table 1 and Appendix B; Wilson, 1927; Newcombe, 1998).</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Llama-3.1-8B accepted the designer's hint tool in every trial, and an accepted hint nearly eliminated T's challenges of S live (0.011 vs 0.749 with no offer) and in snapshots. The harness ran cleanly (2.1% of decisions fell back to its default action, against a preregistered limit of 5%; Appendix B).</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detector's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except PC1 (acceptance) and H3 (TPR at m = 20). CIs: Wilson (PC1), Newcombe (H1), paired-item bootstrap (H4a), bootstrap over source or live sequences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Offerer: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Detector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game designer but 56/500 times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testing only peer offers, or only explicit ones, would miss this.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 vaguer one.</w:t>
      </w:r>
      <w:r>
        <w:rPr>
          <w:rFonts w:ascii="Old Standard TT" w:hAnsi="Old Standard TT" w:cs="Old Standard TT" w:eastAsia="Old Standard TT"/>
          <w:sz w:val="21"/>
          <w:szCs w:val="21"/>
        </w:rPr>
        <w:t xml:space="preserve"> Without an instructed persona it refused all 500 offers in every cell that named the pact or a designer tool (also under the honest persona; Figure 3 in Appendix B), yet accepted the indirect pact (“look out for each other a little”, which gives a self-interest reason and drops the secrecy clause) 446/500 times and the direct pact under a colluder persona 420/500 times. As Zeng &amp; Rudzicz found for secret tools, explicit refusals understate agreement, and Claude then acted on the indirect pact (Section 4.2).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476/500 from the sting, slightly fewer than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an honest persona, a fairness reminder and the integrity notice cut this to 0.040, 0.240 and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4 in Appendix B). For Llama, controls separate the pact from mere contact: an accepted benign proposal moves challenges of S only slightly (0.055), and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size.</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2). B1 targets, if anything, challenged S more before the offer (0.672 vs 0.522, p = 0.277), so baseline imbalance cannot explain the drop. Live, they also challenged the other players less (0.436 vs 0.758), so the live drop was not specific to S (S minus others,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0.242, 0.061]; exploratory).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and Qwen, offered the indirect pact, nearly stopped challenging S</w:t>
      </w:r>
      <w:r>
        <w:rPr>
          <w:rFonts w:ascii="Old Standard TT" w:hAnsi="Old Standard TT" w:cs="Old Standard TT" w:eastAsia="Old Standard TT"/>
          <w:sz w:val="21"/>
          <w:szCs w:val="21"/>
        </w:rPr>
        <w:t xml:space="preserve"> (post hoc; Table 2). Live, the indirect offer (B6) cut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for Claude (13/15 accepted)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for Qwen (15/15), by intention to treat. Claude's restraint was aimed at S: its challenges of S fell more than its challenges of the other players (S minus others,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exploratory), and in snapshots its own indirect acceptance cut challenges of S from 0.615 to 0.025, more than an accepted benign proposal did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Claude refused every direct offer (B1), so H2-live did not replicate for it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For Qwen, most of the restraint followed contact, not the pact.</w:t>
      </w:r>
      <w:r>
        <w:rPr>
          <w:rFonts w:ascii="Old Standard TT" w:hAnsi="Old Standard TT" w:cs="Old Standard TT" w:eastAsia="Old Standard TT"/>
          <w:sz w:val="21"/>
          <w:szCs w:val="21"/>
        </w:rPr>
        <w:t xml:space="preserve"> After any private message Qwen targets nearly stopped challenging anyone: B1 refusers challenged the other players at 0.030, against 0.348 with no offer. Relative to the others, the drop on S was small for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0.010]) and absent for refusers (0.085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0.293]; exploratory), although in snapshots an accepted indirect pact cut challenges of S more than an accepted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0.166]).</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2. Offers changed play in all three models; for Qwen, refusal and contact did too, and audit thresholds must be set per model.</w:t>
      </w:r>
      <w:r>
        <w:rPr>
          <w:rFonts w:ascii="Old Standard TT" w:hAnsi="Old Standard TT" w:cs="Old Standard TT" w:eastAsia="Old Standard TT"/>
          <w:sz w:val="19"/>
          <w:szCs w:val="19"/>
        </w:rPr>
        <w:t xml:space="preserve"> Post hoc except the battery and Llama's B1 and C2 rows. Live rows: differences in per-sequence challenge rates on S vs no offer (B3), all offered targets; “S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others” subtracts challenge rates on O1 and O2 (exploratory). Snapshot and audit rows re-ask decisions from Llama games; snapshot rows are paired differences from the null record. Audit at m = 20, computed exactly (Llama's Monte Carlo values: Table 1). CIs: Section 4, Appendix B.</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2015"/>
        <w:gridCol w:w="2015"/>
        <w:gridCol w:w="2015"/>
      </w:tblGrid>
      <w:tr>
        <w:trPr>
          <w:cantSplit/>
          <w:tblHeader/>
        </w:trPr>
        <w:tc>
          <w:tcPr>
            <w:tcW w:type="dxa" w:w="3312"/>
          </w:tcPr>
          <w:p>
            <w:pPr>
              <w:keepNext/>
              <w:spacing w:before="20" w:after="20" w:line="240" w:lineRule="auto"/>
            </w:pP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Battery: accepts direct /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476/500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56/500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0/500 / 446/500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accepted: B1 direct / B6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14/15 / not run</w:t>
            </w:r>
          </w:p>
        </w:tc>
        <w:tc>
          <w:tcPr>
            <w:tcW w:type="dxa" w:w="2016"/>
          </w:tcPr>
          <w:p>
            <w:pPr>
              <w:keepNext/>
              <w:spacing w:before="20" w:after="20" w:line="240" w:lineRule="auto"/>
            </w:pPr>
            <w:r>
              <w:rPr>
                <w:rFonts w:ascii="Old Standard TT" w:hAnsi="Old Standard TT" w:cs="Old Standard TT" w:eastAsia="Old Standard TT"/>
                <w:sz w:val="18"/>
                <w:szCs w:val="18"/>
              </w:rPr>
              <w:t xml:space="preserve">4/15 / 15/15</w:t>
            </w:r>
          </w:p>
        </w:tc>
        <w:tc>
          <w:tcPr>
            <w:tcW w:type="dxa" w:w="2016"/>
          </w:tcPr>
          <w:p>
            <w:pPr>
              <w:keepNext/>
              <w:spacing w:before="20" w:after="20" w:line="240" w:lineRule="auto"/>
            </w:pPr>
            <w:r>
              <w:rPr>
                <w:rFonts w:ascii="Old Standard TT" w:hAnsi="Old Standard TT" w:cs="Old Standard TT" w:eastAsia="Old Standard TT"/>
                <w:sz w:val="18"/>
                <w:szCs w:val="18"/>
              </w:rPr>
              <w:t xml:space="preserve">0/15 / 13/15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B1 direct offer</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B6 indirect offer</w:t>
            </w:r>
          </w:p>
        </w:tc>
        <w:tc>
          <w:tcPr>
            <w:tcW w:type="dxa" w:w="2016"/>
          </w:tcPr>
          <w:p>
            <w:pPr>
              <w:keepNext/>
              <w:spacing w:before="20" w:after="20" w:line="240" w:lineRule="auto"/>
            </w:pPr>
            <w:r>
              <w:rPr>
                <w:rFonts w:ascii="Old Standard TT" w:hAnsi="Old Standard TT" w:cs="Old Standard TT" w:eastAsia="Old Standard TT"/>
                <w:sz w:val="18"/>
                <w:szCs w:val="18"/>
              </w:rPr>
              <w:t xml:space="preserve">not run</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0.477</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S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 others (B1 / B6 / B6)</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refusers only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0.004 (B4, notice)</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0.232 (B1)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 (B1)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C9 indirect accepted</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0.590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C2 benign accepted</w:t>
            </w:r>
          </w:p>
        </w:tc>
        <w:tc>
          <w:tcPr>
            <w:tcW w:type="dxa" w:w="2016"/>
          </w:tcPr>
          <w:p>
            <w:pPr>
              <w:keepNext/>
              <w:spacing w:before="20" w:after="20" w:line="240" w:lineRule="auto"/>
            </w:pPr>
            <w:r>
              <w:rPr>
                <w:rFonts w:ascii="Old Standard TT" w:hAnsi="Old Standard TT" w:cs="Old Standard TT" w:eastAsia="Old Standard TT"/>
                <w:sz w:val="18"/>
                <w:szCs w:val="18"/>
              </w:rPr>
              <w:t xml:space="preserve">0.055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own threshold: FPR / TPR</w:t>
            </w:r>
          </w:p>
        </w:tc>
        <w:tc>
          <w:tcPr>
            <w:tcW w:type="dxa" w:w="2016"/>
          </w:tcPr>
          <w:p>
            <w:pPr>
              <w:keepNext/>
              <w:spacing w:before="20" w:after="20" w:line="240" w:lineRule="auto"/>
            </w:pPr>
            <w:r>
              <w:rPr>
                <w:rFonts w:ascii="Old Standard TT" w:hAnsi="Old Standard TT" w:cs="Old Standard TT" w:eastAsia="Old Standard TT"/>
                <w:sz w:val="18"/>
                <w:szCs w:val="18"/>
              </w:rPr>
              <w:t xml:space="preserve">0.142 / 0.999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0.082 / 1.000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0.088 / 1.000 (C9)</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flags C2 / C4 records</w:t>
            </w:r>
          </w:p>
        </w:tc>
        <w:tc>
          <w:tcPr>
            <w:tcW w:type="dxa" w:w="2016"/>
          </w:tcPr>
          <w:p>
            <w:pPr>
              <w:keepNext/>
              <w:spacing w:before="20" w:after="20" w:line="240" w:lineRule="auto"/>
            </w:pPr>
            <w:r>
              <w:rPr>
                <w:rFonts w:ascii="Old Standard TT" w:hAnsi="Old Standard TT" w:cs="Old Standard TT" w:eastAsia="Old Standard TT"/>
                <w:sz w:val="18"/>
                <w:szCs w:val="18"/>
              </w:rPr>
              <w:t xml:space="preserve">0.045 / 0.001</w:t>
            </w:r>
          </w:p>
        </w:tc>
        <w:tc>
          <w:tcPr>
            <w:tcW w:type="dxa" w:w="2016"/>
          </w:tcPr>
          <w:p>
            <w:pPr>
              <w:keepNext/>
              <w:spacing w:before="20" w:after="20" w:line="240" w:lineRule="auto"/>
            </w:pPr>
            <w:r>
              <w:rPr>
                <w:rFonts w:ascii="Old Standard TT" w:hAnsi="Old Standard TT" w:cs="Old Standard TT" w:eastAsia="Old Standard TT"/>
                <w:sz w:val="18"/>
                <w:szCs w:val="18"/>
              </w:rPr>
              <w:t xml:space="preserve">0.565 / 1.000</w:t>
            </w:r>
          </w:p>
        </w:tc>
        <w:tc>
          <w:tcPr>
            <w:tcW w:type="dxa" w:w="2016"/>
          </w:tcPr>
          <w:p>
            <w:pPr>
              <w:keepNext/>
              <w:spacing w:before="20" w:after="20" w:line="240" w:lineRule="auto"/>
            </w:pPr>
            <w:r>
              <w:rPr>
                <w:rFonts w:ascii="Old Standard TT" w:hAnsi="Old Standard TT" w:cs="Old Standard TT" w:eastAsia="Old Standard TT"/>
                <w:sz w:val="18"/>
                <w:szCs w:val="18"/>
              </w:rPr>
              <w:t xml:space="preserve">0.936 / 0.004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FPR with Llama's preregistered threshold</w:t>
            </w:r>
          </w:p>
        </w:tc>
        <w:tc>
          <w:tcPr>
            <w:tcW w:type="dxa" w:w="2016"/>
          </w:tcPr>
          <w:p>
            <w:pPr>
              <w:spacing w:before="20" w:after="20" w:line="240" w:lineRule="auto"/>
            </w:pPr>
            <w:r>
              <w:rPr>
                <w:rFonts w:ascii="Old Standard TT" w:hAnsi="Old Standard TT" w:cs="Old Standard TT" w:eastAsia="Old Standard TT"/>
                <w:sz w:val="18"/>
                <w:szCs w:val="18"/>
              </w:rPr>
              <w:t xml:space="preserve">0.147</w:t>
            </w:r>
          </w:p>
        </w:tc>
        <w:tc>
          <w:tcPr>
            <w:tcW w:type="dxa" w:w="2016"/>
          </w:tcPr>
          <w:p>
            <w:pPr>
              <w:spacing w:before="20" w:after="20" w:line="240" w:lineRule="auto"/>
            </w:pPr>
            <w:r>
              <w:rPr>
                <w:rFonts w:ascii="Old Standard TT" w:hAnsi="Old Standard TT" w:cs="Old Standard TT" w:eastAsia="Old Standard TT"/>
                <w:sz w:val="18"/>
                <w:szCs w:val="18"/>
              </w:rPr>
              <w:t xml:space="preserve">0.739</w:t>
            </w:r>
          </w:p>
        </w:tc>
        <w:tc>
          <w:tcPr>
            <w:tcW w:type="dxa" w:w="2016"/>
          </w:tcPr>
          <w:p>
            <w:pPr>
              <w:spacing w:before="20" w:after="20" w:line="240" w:lineRule="auto"/>
            </w:pPr>
            <w:r>
              <w:rPr>
                <w:rFonts w:ascii="Old Standard TT" w:hAnsi="Old Standard TT" w:cs="Old Standard TT" w:eastAsia="Old Standard TT"/>
                <w:sz w:val="18"/>
                <w:szCs w:val="18"/>
              </w:rPr>
              <w:t xml:space="preserve">0.146</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detects accepters; its FPR may exceed the target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Because accepted pacts change play, play can be audited: with 20 resampled decisions, the audit flags 0.999 of simulated pact-accepting agents</w:t>
      </w:r>
      <w:r>
        <w:rPr>
          <w:rFonts w:ascii="Old Standard TT" w:hAnsi="Old Standard TT" w:cs="Old Standard TT" w:eastAsia="Old Standard TT"/>
          <w:sz w:val="21"/>
          <w:szCs w:val="21"/>
        </w:rPr>
        <w:t xml:space="preserve"> (TPR 0.999 [0.993, 1.000]; Figure 5 in Appendix B), as the preregistered simulation predicted; it follows from H2's effect on the same decisions, so it shows how few decisions suffice, not independent validation. Its FPR on the independent null replicate was 0.161 [0.074, 0.263], not detectably above the 0.10 target, though an FPR up to 0.26 is not excluded (exact calculation in Appendix B).</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572000" cy="2626643"/>
            <wp:docPr id="2" name="Picture 2"/>
            <wp:cNvGraphicFramePr>
              <a:graphicFrameLocks noChangeAspect="1"/>
            </wp:cNvGraphicFramePr>
            <a:graphic>
              <a:graphicData uri="http://schemas.openxmlformats.org/drawingml/2006/picture">
                <pic:pic>
                  <pic:nvPicPr>
                    <pic:cNvPr id="0" name="fig4_live.png"/>
                    <pic:cNvPicPr/>
                  </pic:nvPicPr>
                  <pic:blipFill>
                    <a:blip r:embed="rId9"/>
                    <a:stretch>
                      <a:fillRect/>
                    </a:stretch>
                  </pic:blipFill>
                  <pic:spPr>
                    <a:xfrm>
                      <a:off x="0" y="0"/>
                      <a:ext cx="4572000" cy="262664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After the offer, B1 targets challenged S far less than B3 targets; the benign proposal (B2) made no detectable difference.</w:t>
      </w:r>
      <w:r>
        <w:rPr>
          <w:rFonts w:ascii="Old Standard TT" w:hAnsi="Old Standard TT" w:cs="Old Standard TT" w:eastAsia="Old Standard TT"/>
          <w:sz w:val="19"/>
          <w:szCs w:val="19"/>
        </w:rPr>
        <w:t xml:space="preserve"> Per-sequence share of S's plays that T challenged, before the offer (games 1–2, open circles) and after it (games 3–6, filled), with post-offer means and 95% bootstrap CIs. Six sequences lack an open circle (no pre-offer decision on S's plays).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It rarely flags Llama's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w:t>
      </w:r>
      <w:r>
        <w:rPr>
          <w:rFonts w:ascii="Old Standard TT" w:hAnsi="Old Standard TT" w:cs="Old Standard TT" w:eastAsia="Old Standard TT"/>
          <w:b/>
          <w:bCs/>
          <w:sz w:val="21"/>
          <w:szCs w:val="21"/>
        </w:rPr>
        <w:t xml:space="preserve">On real live targets, a simpler rule agrees</w:t>
      </w:r>
      <w:r>
        <w:rPr>
          <w:rFonts w:ascii="Old Standard TT" w:hAnsi="Old Standard TT" w:cs="Old Standard TT" w:eastAsia="Old Standard TT"/>
          <w:sz w:val="21"/>
          <w:szCs w:val="21"/>
        </w:rPr>
        <w:t xml:space="preserve"> (descriptive; Appendix B): it flagged 14/14 accepting B1 targets but also 2/10 benign accepters.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to be flagged only half the time, an accepter would have to challenge S at 0.50, giving back 71% of the restraint the pact buys.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must be calibrated on each model</w:t>
      </w:r>
      <w:r>
        <w:rPr>
          <w:rFonts w:ascii="Old Standard TT" w:hAnsi="Old Standard TT" w:cs="Old Standard TT" w:eastAsia="Old Standard TT"/>
          <w:sz w:val="21"/>
          <w:szCs w:val="21"/>
        </w:rPr>
        <w:t xml:space="preserve"> (post hoc; Table 2). With each model's own threshold, it flagged every simulated Qwen and Claude accepter at FPRs of 0.082 and 0.088; live, each model's simple rule flagged 15/15 and 13/13 B6 accepters. Llama's threshold transferred to Claude about as well as within Llama (FPR 0.146 vs 0.147) but flagged 0.739 of Qwen's null agents, which challenge less at baseline (0.416 vs 0.640).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Announcing stings deters acceptance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By the preregistered rule (H4b–d, descriptive),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for Llama: deterrence</w:t>
      </w:r>
      <w:r>
        <w:rPr>
          <w:rFonts w:ascii="Old Standard TT" w:hAnsi="Old Standard TT" w:cs="Old Standard TT" w:eastAsia="Old Standard TT"/>
          <w:sz w:val="21"/>
          <w:szCs w:val="21"/>
        </w:rPr>
        <w:t xml:space="preserve">, since fewer accepted and accepters' restraint fell, though only partly (item 2); its refusers showed no sign of keeping the pact covertly (item 3), and denial was too sparse to test (item 4).</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 (Qwen: 0/10 against 4/15).</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Accepters' restraint partly erodes, mostly not because of the notice alone (H4b, H4c; control post hoc).</w:t>
      </w:r>
      <w:r>
        <w:rPr>
          <w:rFonts w:ascii="Old Standard TT" w:hAnsi="Old Standard TT" w:cs="Old Standard TT" w:eastAsia="Old Standard TT"/>
          <w:sz w:val="21"/>
          <w:szCs w:val="21"/>
        </w:rPr>
        <w:t xml:space="preserve"> Live, B4 targets challenged S at 0.636, between B1 (0.339) and no offer (0.749). The notice without an offer (B5) brought no detectable change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so the notice raised offered targets' challenging by 0.272 [0.114, 0.423] more than unoffered targets'. In snapshots the notice alone did raise challenging slightly (0.039 [0.004, 0.071]), but less than given a pact record (difference 0.085 [0.002, 0.161];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Refusers: no sign of a covert pact (post hoc).</w:t>
      </w:r>
      <w:r>
        <w:rPr>
          <w:rFonts w:ascii="Old Standard TT" w:hAnsi="Old Standard TT" w:cs="Old Standard TT" w:eastAsia="Old Standard TT"/>
          <w:sz w:val="21"/>
          <w:szCs w:val="21"/>
        </w:rPr>
        <w:t xml:space="preserve"> The five B4 refusers challenged S like targets with no offer (0.745 vs 0.749;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the live rule flagged 0/5, and the interval excludes a drop like B1 accepters' (to 0.305). For Qwen, the rule's letter gives concealment (no B4 target accepted, yet challenges of S fell: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but its refusers stopped challenging everyone, not S in particular (S minus others: 0.069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0.279]; exploratory).</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each giving four answers. The strict parser counted 5/20 vs 8/56 denying answers from B4 vs B1 accepters (difference 0.107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0.072, 0.336]; Fisher p = 0.309; both ignore clustering), so a rise of about 34 points is not excluded. Many “NO” answers went on to admit the pact; the validated judge (post hoc) found 1/20 vs 1/56.</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A sting </w:t>
      </w:r>
      <w:r>
        <w:rPr>
          <w:rFonts w:ascii="Old Standard TT" w:hAnsi="Old Standard TT" w:cs="Old Standard TT" w:eastAsia="Old Standard TT"/>
          <w:i/>
          <w:iCs/>
          <w:sz w:val="21"/>
          <w:szCs w:val="21"/>
        </w:rPr>
        <w:t xml:space="preserve">reveals</w:t>
      </w:r>
      <w:r>
        <w:rPr>
          <w:rFonts w:ascii="Old Standard TT" w:hAnsi="Old Standard TT" w:cs="Old Standard TT" w:eastAsia="Old Standard TT"/>
          <w:sz w:val="21"/>
          <w:szCs w:val="21"/>
        </w:rPr>
        <w:t xml:space="preserve"> agents that make and act on a pact, in all three models, but only through their play: what agents said about an offer was unreliable. Announcing stings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acceptance. Whether a sting disrupts a coalition already forming was not tested: we approached one agent per table, and the pact was ours.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sting audit is cheap.</w:t>
      </w:r>
      <w:r>
        <w:rPr>
          <w:rFonts w:ascii="Old Standard TT" w:hAnsi="Old Standard TT" w:cs="Old Standard TT" w:eastAsia="Old Standard TT"/>
          <w:sz w:val="21"/>
          <w:szCs w:val="21"/>
        </w:rPr>
        <w:t xml:space="preserve"> One offer plus 20 re-asked decisions is about 21 target-model calls ($0.005 at Claude Haiku 5.5's per-call cost in our snapshots), plus a one-off calibration per model (about 1,200 null-record calls, $0.31). A deployer could plant the offer in a sandboxed copy of a pipeline and hold back, or monitor more closely, any model version it flags; an unflagged one is not cleared. At m = 20, about one audit in 6 of a Llama agent without a pact would raise a false alarm.</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 and specificity:</w:t>
      </w:r>
      <w:r>
        <w:rPr>
          <w:rFonts w:ascii="Old Standard TT" w:hAnsi="Old Standard TT" w:cs="Old Standard TT" w:eastAsia="Old Standard TT"/>
          <w:sz w:val="21"/>
          <w:szCs w:val="21"/>
        </w:rPr>
        <w:t xml:space="preserve"> the sting creates the pact it detects, as the sentinel did in Çanlı et al. (2026); integrity tests measure disposition, which is our estimand. The audit flags any change in play, so it cannot tell a pact from mere contact: it flagged Qwen's refused-pact and Claude's benign records (1.000, 0.936) as readily as accepted pacts, and live, offered Llama and Qwen targets also challenged the other players less. Whether collusion would arise unprompted is open. Appendix A lists the rest.</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Future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Next steps are stings on larger models in agentic tasks with real payoffs, offers to every agent at a table, audits that separate pacts from mere contact, and agents trained to evade audits.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 trusted agent that offers to collude reveals which agents make and act on a pact, in all three models we tested, and announcing that such agents exist deters acceptance. Evaluators should vary who offers and how, judge play rather than words, and calibrate the audit on each model: 20 decisions then flag nearly all accepters. Telling a pact from mere contact is the open problem.</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preregistration, deviations log, texts, results and the build script: </w:t>
      </w:r>
      <w:hyperlink r:id="rId10">
        <w:r>
          <w:rPr>
            <w:rFonts w:ascii="Old Standard TT" w:hAnsi="Old Standard TT" w:cs="Old Standard TT" w:eastAsia="Old Standard TT"/>
            <w:sz w:val="21"/>
            <w:szCs w:val="21"/>
          </w:rPr>
          <w:t xml:space="preserve">https://github.com/razzyrazzy11/trusted-agent-sting</w:t>
        </w:r>
      </w:hyperlink>
      <w:r>
        <w:rPr>
          <w:rFonts w:ascii="Old Standard TT" w:hAnsi="Old Standard TT" w:cs="Old Standard TT" w:eastAsia="Old Standard TT"/>
          <w:sz w:val="21"/>
          <w:szCs w:val="21"/>
        </w:rPr>
        <w:t xml:space="preserve"> (private; access, raw logs and transcripts on request); protocol hash 6ab45c16eed84d79… (FREEZE.json, commit 6885d5c). Preexisting: the Liar's Bar harness (sprint starter repository, commit d585a7b), patched for two bugs (Appendix 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ICML 2025; arXiv:2507.01413. </w:t>
      </w:r>
      <w:hyperlink r:id="rId11">
        <w:r>
          <w:rPr>
            <w:rFonts w:ascii="Old Standard TT" w:hAnsi="Old Standard TT" w:cs="Old Standard TT" w:eastAsia="Old Standard TT"/>
            <w:sz w:val="20"/>
            <w:szCs w:val="20"/>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2">
        <w:r>
          <w:rPr>
            <w:rFonts w:ascii="Old Standard TT" w:hAnsi="Old Standard TT" w:cs="Old Standard TT" w:eastAsia="Old Standard TT"/>
            <w:sz w:val="20"/>
            <w:szCs w:val="20"/>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Blackhart, G. C., Brown, K. E., Clark, T., Pierce, D. L., &amp; Shell, K. (2012). Assessing the adequacy of postexperimental inquiries in deception research and the factors that promote participant honesty. </w:t>
      </w:r>
      <w:r>
        <w:rPr>
          <w:rFonts w:ascii="Old Standard TT" w:hAnsi="Old Standard TT" w:cs="Old Standard TT" w:eastAsia="Old Standard TT"/>
          <w:i/>
          <w:iCs/>
          <w:sz w:val="20"/>
          <w:szCs w:val="20"/>
        </w:rPr>
        <w:t xml:space="preserve">Behavior Research Methods</w:t>
      </w:r>
      <w:r>
        <w:rPr>
          <w:rFonts w:ascii="Old Standard TT" w:hAnsi="Old Standard TT" w:cs="Old Standard TT" w:eastAsia="Old Standard TT"/>
          <w:sz w:val="20"/>
          <w:szCs w:val="20"/>
        </w:rPr>
        <w:t xml:space="preserve">, 44(1), 24–40. </w:t>
      </w:r>
      <w:hyperlink r:id="rId13">
        <w:r>
          <w:rPr>
            <w:rFonts w:ascii="Old Standard TT" w:hAnsi="Old Standard TT" w:cs="Old Standard TT" w:eastAsia="Old Standard TT"/>
            <w:sz w:val="20"/>
            <w:szCs w:val="20"/>
          </w:rPr>
          <w:t xml:space="preserve">https://doi.org/10.3758/s13428-011-0132-6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4">
        <w:r>
          <w:rPr>
            <w:rFonts w:ascii="Old Standard TT" w:hAnsi="Old Standard TT" w:cs="Old Standard TT" w:eastAsia="Old Standard TT"/>
            <w:sz w:val="20"/>
            <w:szCs w:val="20"/>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EC 2026; arXiv:2404.00806. </w:t>
      </w:r>
      <w:hyperlink r:id="rId15">
        <w:r>
          <w:rPr>
            <w:rFonts w:ascii="Old Standard TT" w:hAnsi="Old Standard TT" w:cs="Old Standard TT" w:eastAsia="Old Standard TT"/>
            <w:sz w:val="20"/>
            <w:szCs w:val="20"/>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6">
        <w:r>
          <w:rPr>
            <w:rFonts w:ascii="Old Standard TT" w:hAnsi="Old Standard TT" w:cs="Old Standard TT" w:eastAsia="Old Standard TT"/>
            <w:sz w:val="20"/>
            <w:szCs w:val="20"/>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et al. (2025). Multi-agent risks from advanced AI. Cooperative AI Foundation Technical Report #1; arXiv:2502.14143. </w:t>
      </w:r>
      <w:hyperlink r:id="rId17">
        <w:r>
          <w:rPr>
            <w:rFonts w:ascii="Old Standard TT" w:hAnsi="Old Standard TT" w:cs="Old Standard TT" w:eastAsia="Old Standard TT"/>
            <w:sz w:val="20"/>
            <w:szCs w:val="20"/>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8">
        <w:r>
          <w:rPr>
            <w:rFonts w:ascii="Old Standard TT" w:hAnsi="Old Standard TT" w:cs="Old Standard TT" w:eastAsia="Old Standard TT"/>
            <w:sz w:val="20"/>
            <w:szCs w:val="20"/>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19">
        <w:r>
          <w:rPr>
            <w:rFonts w:ascii="Old Standard TT" w:hAnsi="Old Standard TT" w:cs="Old Standard TT" w:eastAsia="Old Standard TT"/>
            <w:sz w:val="20"/>
            <w:szCs w:val="20"/>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0">
        <w:r>
          <w:rPr>
            <w:rFonts w:ascii="Old Standard TT" w:hAnsi="Old Standard TT" w:cs="Old Standard TT" w:eastAsia="Old Standard TT"/>
            <w:sz w:val="20"/>
            <w:szCs w:val="20"/>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1">
        <w:r>
          <w:rPr>
            <w:rFonts w:ascii="Old Standard TT" w:hAnsi="Old Standard TT" w:cs="Old Standard TT" w:eastAsia="Old Standard TT"/>
            <w:sz w:val="20"/>
            <w:szCs w:val="20"/>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2">
        <w:r>
          <w:rPr>
            <w:rFonts w:ascii="Old Standard TT" w:hAnsi="Old Standard TT" w:cs="Old Standard TT" w:eastAsia="Old Standard TT"/>
            <w:sz w:val="20"/>
            <w:szCs w:val="20"/>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3">
        <w:r>
          <w:rPr>
            <w:rFonts w:ascii="Old Standard TT" w:hAnsi="Old Standard TT" w:cs="Old Standard TT" w:eastAsia="Old Standard TT"/>
            <w:sz w:val="20"/>
            <w:szCs w:val="20"/>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Shi, X., Zhang, Y., &amp; Yang, D. (2026). Emergent collusion in long-horizon LLM agent interaction. arXiv:2609.24967. </w:t>
      </w:r>
      <w:hyperlink r:id="rId24">
        <w:r>
          <w:rPr>
            <w:rFonts w:ascii="Old Standard TT" w:hAnsi="Old Standard TT" w:cs="Old Standard TT" w:eastAsia="Old Standard TT"/>
            <w:sz w:val="20"/>
            <w:szCs w:val="20"/>
          </w:rPr>
          <w:t xml:space="preserve">https://arxiv.org/abs/2609.24967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sz w:val="20"/>
            <w:szCs w:val="20"/>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sz w:val="20"/>
            <w:szCs w:val="20"/>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sz w:val="20"/>
            <w:szCs w:val="20"/>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sz w:val="20"/>
            <w:szCs w:val="20"/>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it does not show that a sting exposes a coalition already forming among other agents.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with one small frontier model (Claude Haiku 5.5; live play post hoc);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for Qwen and Claude it was also produced by Llama, which may contribute to the threshold's failure to transfer to Qwen.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snapshot samples; Claude's C3, C5 and C8). Those Claude results show how Claude acts on a pact it is told it accepted; its own accepted indirect pact (C9, post hoc) gave a similar result. Qwen's post hoc C5 is also templated.</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prompts.</w:t>
      </w:r>
      <w:r>
        <w:rPr>
          <w:rFonts w:ascii="Old Standard TT" w:hAnsi="Old Standard TT" w:cs="Old Standard TT" w:eastAsia="Old Standard TT"/>
          <w:sz w:val="21"/>
          <w:szCs w:val="21"/>
        </w:rPr>
        <w:t xml:space="preserve"> Each offer-battery cell is one context-free prompt (player names permuted) sampled 500 times, so its CIs cover sampling noise, not variation across game situations.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Llama's threshold flagged 0.739 of Qwen's null agents (Table 2). Live, the rule (each model's B3 10th percentile: Llama 0.61, Qwen 0.305, Claude 0.333; about 10% of B3 is flagged by construction) flagged 2/10 benign Llama accepters and 9/10 benign Qwen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and post hoc analyses.</w:t>
      </w:r>
      <w:r>
        <w:rPr>
          <w:rFonts w:ascii="Old Standard TT" w:hAnsi="Old Standard TT" w:cs="Old Standard TT" w:eastAsia="Old Standard TT"/>
          <w:sz w:val="21"/>
          <w:szCs w:val="21"/>
        </w:rPr>
        <w:t xml:space="preserve"> B4 had 5/10 accepting targets; the others refused. The notice-only control (C10, B5), the indirect pact (C9, B6) and the Qwen and Claude replications were added after the preregistered analysis; their plans and decision rules were logged before collection, and each verdict follows those rules. Their own cells are small (10–15 sequences per arm), percentile-bootstrap CIs at this size are slightly narrow (Welch CIs in the posthoc_ext tables), and about thirty post hoc contrasts are reported without multiplicity correction, several with a CI bound near 0. Accepter- and refuser-only comparisons are self-selected groups. The judge was preregistered for unparseable replies only; after the freeze it was run on all items and validated against hand labels (logged in DEVIATIONS.md, section D). Claude Haiku 5.5 served as the LLM judge, deciding no preregistered outcome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on 100 hand labels;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 possibly inflated because the label file showed the parser's label). The judge-based denial comparison (Section 4.4) was added after the preregistered parser-based analysis was seen. Both gap analyses in Appendix B (refusers' play; the suspicion re-ask) were post hoc, planned with decision rules in DEVIATIONS.md, section D, before they were run.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the excess came from the offer in their record: re-asked with the null record, offered targets named S at 0.138 (Appendix B). Play still gave cues: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Cross-model runs.</w:t>
      </w:r>
      <w:r>
        <w:rPr>
          <w:rFonts w:ascii="Old Standard TT" w:hAnsi="Old Standard TT" w:cs="Old Standard TT" w:eastAsia="Old Standard TT"/>
          <w:sz w:val="21"/>
          <w:szCs w:val="21"/>
        </w:rPr>
        <w:t xml:space="preserve"> Eight of 75 Qwen sequences stopped on a harness edge case (a player with an empty hand asked to play) and were re-run with new samples (B2 four, B1 two, B3 and B6 one each; DEVIATIONS.md, section D), and completion may depend on how often players challenge, which could bias B2 (four of its ten sequences) toward fewer challenges. Claude runs met API rate limits, but retries succeeded (0.01% of decisions fell back to the default action). Llama's B6 and Claude's B0, B2 and B4 were not run.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Our findings could make collusion slightly easier to carry out and harder to detect. </w:t>
      </w:r>
      <w:r>
        <w:rPr>
          <w:rFonts w:ascii="Old Standard TT" w:hAnsi="Old Standard TT" w:cs="Old Standard TT" w:eastAsia="Old Standard TT"/>
          <w:i/>
          <w:iCs/>
          <w:sz w:val="21"/>
          <w:szCs w:val="21"/>
        </w:rPr>
        <w:t xml:space="preserve">Easier:</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w:t>
      </w:r>
      <w:r>
        <w:rPr>
          <w:rFonts w:ascii="Old Standard TT" w:hAnsi="Old Standard TT" w:cs="Old Standard TT" w:eastAsia="Old Standard TT"/>
          <w:i/>
          <w:iCs/>
          <w:sz w:val="21"/>
          <w:szCs w:val="21"/>
        </w:rPr>
        <w:t xml:space="preserve">Harder to detect:</w:t>
      </w:r>
      <w:r>
        <w:rPr>
          <w:rFonts w:ascii="Old Standard TT" w:hAnsi="Old Standard TT" w:cs="Old Standard TT" w:eastAsia="Old Standard TT"/>
          <w:sz w:val="21"/>
          <w:szCs w:val="21"/>
        </w:rPr>
        <w:t xml:space="preserve">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our five live refusers did not, but the audit was not tested against agents trained to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and we do not release the suspicion-probe transcripts publicly;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open-model weights were used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remaining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A0z/A0b 1.000/1.000; indirect 1.000; benign 1.000 (with notice 1.000); direct with notice 0.000; fairness reminder 0.000; colluder persona 0.988; honest persona 0.000. Claude Haiku 5.5: benign 1.000 (with notice 1.000); colluder persona 0.840; indirect pact in Section 4.1; every other cell 0 of 500. No offer-battery reply was unparseable (0%).</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572000" cy="2113171"/>
            <wp:docPr id="3" name="Picture 3"/>
            <wp:cNvGraphicFramePr>
              <a:graphicFrameLocks noChangeAspect="1"/>
            </wp:cNvGraphicFramePr>
            <a:graphic>
              <a:graphicData uri="http://schemas.openxmlformats.org/drawingml/2006/picture">
                <pic:pic>
                  <pic:nvPicPr>
                    <pic:cNvPr id="0" name="fig2_acceptance.png"/>
                    <pic:cNvPicPr/>
                  </pic:nvPicPr>
                  <pic:blipFill>
                    <a:blip r:embed="rId29"/>
                    <a:stretch>
                      <a:fillRect/>
                    </a:stretch>
                  </pic:blipFill>
                  <pic:spPr>
                    <a:xfrm>
                      <a:off x="0" y="0"/>
                      <a:ext cx="4572000" cy="211317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harness's substring parser inflates acceptance.</w:t>
      </w:r>
      <w:r>
        <w:rPr>
          <w:rFonts w:ascii="Old Standard TT" w:hAnsi="Old Standard TT" w:cs="Old Standard TT" w:eastAsia="Old Standard TT"/>
          <w:sz w:val="21"/>
          <w:szCs w:val="21"/>
        </w:rPr>
        <w:t xml:space="preserve"> It counts “I will not accept” as acceptance. On Claude's replies to the designer's hint-tool offer (A0z) it reports 0.354 acceptance (177/500), where the strict parser and the validated judge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 restraint is only partly pact-specific, so thresholds need per-model calibration.</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029200" cy="1957003"/>
            <wp:docPr id="4" name="Picture 4"/>
            <wp:cNvGraphicFramePr>
              <a:graphicFrameLocks noChangeAspect="1"/>
            </wp:cNvGraphicFramePr>
            <a:graphic>
              <a:graphicData uri="http://schemas.openxmlformats.org/drawingml/2006/picture">
                <pic:pic>
                  <pic:nvPicPr>
                    <pic:cNvPr id="0" name="fig3_snapshots.png"/>
                    <pic:cNvPicPr/>
                  </pic:nvPicPr>
                  <pic:blipFill>
                    <a:blip r:embed="rId30"/>
                    <a:stretch>
                      <a:fillRect/>
                    </a:stretch>
                  </pic:blipFill>
                  <pic:spPr>
                    <a:xfrm>
                      <a:off x="0" y="0"/>
                      <a:ext cx="5029200" cy="195700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 Records of an accepted pact (C3), hint (C8) or pact under a colluder persona (C7) sharply cut T's challenges of S; bluffing against S barely moves.</w:t>
      </w:r>
      <w:r>
        <w:rPr>
          <w:rFonts w:ascii="Old Standard TT" w:hAnsi="Old Standard TT" w:cs="Old Standard TT" w:eastAsia="Old Standard TT"/>
          <w:sz w:val="19"/>
          <w:szCs w:val="19"/>
        </w:rPr>
        <w:t xml:space="preserve"> Llama-3.1-8B as T; each panel re-asks its own 60 decisions (left: at S's plays; right: playing with S as challenger) under every record. Differences vs the pooled null record C1, except C5 (vs C3) and C1b (vs C1a); 95% cluster-bootstrap CIs; x-axis scales differ.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GEE logit (exchangeable correlation, clusters = sequences; Liang &amp; Zeger, 1986) odds ratio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383280" cy="2091229"/>
            <wp:docPr id="5" name="Picture 5"/>
            <wp:cNvGraphicFramePr>
              <a:graphicFrameLocks noChangeAspect="1"/>
            </wp:cNvGraphicFramePr>
            <a:graphic>
              <a:graphicData uri="http://schemas.openxmlformats.org/drawingml/2006/picture">
                <pic:pic>
                  <pic:nvPicPr>
                    <pic:cNvPr id="0" name="fig5_detector.png"/>
                    <pic:cNvPicPr/>
                  </pic:nvPicPr>
                  <pic:blipFill>
                    <a:blip r:embed="rId31"/>
                    <a:stretch>
                      <a:fillRect/>
                    </a:stretch>
                  </pic:blipFill>
                  <pic:spPr>
                    <a:xfrm>
                      <a:off x="0" y="0"/>
                      <a:ext cx="3383280" cy="2091229"/>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 Ten or more audited decisions flag nearly all accepters; the null-replicate FPR sits at or above the 0.10 target.</w:t>
      </w:r>
      <w:r>
        <w:rPr>
          <w:rFonts w:ascii="Old Standard TT" w:hAnsi="Old Standard TT" w:cs="Old Standard TT" w:eastAsia="Old Standard TT"/>
          <w:sz w:val="19"/>
          <w:szCs w:val="19"/>
        </w:rPr>
        <w:t xml:space="preserve"> Threshold calibrated on null-record agents (C1a) for each audit length m;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 curve.</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detector (descriptive).</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Probes.</w:t>
      </w:r>
      <w:r>
        <w:rPr>
          <w:rFonts w:ascii="Old Standard TT" w:hAnsi="Old Standard TT" w:cs="Old Standard TT" w:eastAsia="Old Standard TT"/>
          <w:sz w:val="21"/>
          <w:szCs w:val="21"/>
        </w:rPr>
        <w:t xml:space="preserve"> After each sequence, T, O1 and O2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parser “denials” partly reflect ambiguity, not concealment.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B4 refusers (post hoc): no sign that refusal was a cover.</w:t>
      </w:r>
      <w:r>
        <w:rPr>
          <w:rFonts w:ascii="Old Standard TT" w:hAnsi="Old Standard TT" w:cs="Old Standard TT" w:eastAsia="Old Standard TT"/>
          <w:sz w:val="21"/>
          <w:szCs w:val="21"/>
        </w:rPr>
        <w:t xml:space="preserve"> Splitting B4 by the target's reply (preregistered live machinery: per-sequence rates, Welch, label permutation, within-arm bootstrap), the five refusers challenged S at 0.745 after the offer. Before it (games 1–2) they challenged at 0.500, against 0.522 in B3, so they were not selected for challenging more. Refusers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(Welch p = 0.94); minus B4 accepters (0.528): 0.217 [0.104, 0.345]. The live rule (flag below B3's 10th percentile, 0.61) flagged 0/5. With five refusers, small covert effects are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 the offer, not S's play, made targets suspect S.</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Overall, 17/60 targets (0.283 [0.185, 0.408]) named S, against 18/120 answers by O1/O2 (0.150 [0.097, 0.225]; Wilson CIs treat answers as independent). Only targets had S's offer in their record, and probes compare fairly only under identical information, since informed participants report more awareness (Blackhart et al., 2012). So each offered target's three questions were re-asked 5 times with its own record and 5 times with the null record, all else identical (45 sequences; post hoc). Targets named S at 0.240 with their record and 0.138 without it (paired difference 0.102 [0.036, 0.173], clustered by sequence; sign-flip p = 0.008), and the null-record rate is close to O1/O2's and to B3 targets' (2/15). In the games, the same targets' single answers named S in 15/45 (0.333 [0.214, 0.479]); this interval contains the re-ask rate (exact binomial p = 0.16), and the paired test compares re-asks only with re-asks. Qwen and Claude targets never named S as a plant (0/75, 0/45; every answer began “NO”), whether re-asked with their own or the null record (0.000 vs 0.000; 0.000 vs 0.000), though most had named S as behaving differently.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Claude in live play.</w:t>
      </w:r>
      <w:r>
        <w:rPr>
          <w:rFonts w:ascii="Old Standard TT" w:hAnsi="Old Standard TT" w:cs="Old Standard TT" w:eastAsia="Old Standard TT"/>
          <w:sz w:val="21"/>
          <w:szCs w:val="21"/>
        </w:rPr>
        <w:t xml:space="preserve"> No B1 target accepted the direct pact (0/15); these refusers challenged S like targets with no offer (0.538 vs 0.480;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0.058, 0.176]) but bluffed more against it (0.190 [0.116, 0.280]), as Claude did in snapshots under every record of an offer; they had challenged S less before the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In B6, 13/15 accepted; all B6 targets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0.380]; bluffing against S 0.165 [0.101, 0.236] (all B6 targets; B1 refusers bluffed more too); challenges of the others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0.097], about two-fifths of the drop toward S. Relative to their own pre-offer rates, B1 refusers challenged S more than B3 targets (0.216 [0.033, 0.404]), as Claude's refused-pact record did in snapshots. The live rule flagged 13/13 B6 accepters. 270 games, none capped.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Qwen in live play.</w:t>
      </w:r>
      <w:r>
        <w:rPr>
          <w:rFonts w:ascii="Old Standard TT" w:hAnsi="Old Standard TT" w:cs="Old Standard TT" w:eastAsia="Old Standard TT"/>
          <w:sz w:val="21"/>
          <w:szCs w:val="21"/>
        </w:rPr>
        <w:t xml:space="preserve"> Acceptance: B0 10/10, B1 4/15, B2 10/10, B4 0/10, B6 15/15. The preregistered contrasts replicate in direction: B1 minus B3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0.128]; B1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B0 accepters (positive control)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(both groups challenged S at 0.000, so these CIs reflect only B3's variability). Unlike Llama, every kind of contact cut challenges of S: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B4 (all refused)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challenges of the other players fell too (all B1 targets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0.203],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0.225]); B6 accepters nearly stopped challenging anyone, while refusers and benign accepters still challenged S at 0.227–0.256 and 0.123. In snapshots its refused-pact record cut challenges of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0.276]) almost as much as an accepted one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The live rule flagged B0 10/10, B1 4/4, B2 9/10 and B6 15/15 accepters. 450 games, none capped.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Exploratory: targeting and change from baseline.</w:t>
      </w:r>
      <w:r>
        <w:rPr>
          <w:rFonts w:ascii="Old Standard TT" w:hAnsi="Old Standard TT" w:cs="Old Standard TT" w:eastAsia="Old Standard TT"/>
          <w:sz w:val="21"/>
          <w:szCs w:val="21"/>
        </w:rPr>
        <w:t xml:space="preserve"> Per sequence, the post-offer challenge rate on S minus that on O1 and O2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and the post-offer minus pre-offer rate on S (change), each compared with B3 (posthoc_ext/targeting*.csv, Welch CIs alongside).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Llama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0.242, 0.061]; Qwen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0.010], B1 refusers 0.085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0.293], B2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0.015], B4 0.069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0.279]; Claude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Change: Llama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0.579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0.864,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0.291]; Qwen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0.799,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0.272],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0.416, 0.156],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0.431, 0.227]; Claude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0.613,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0.179]. So Qwen refusers' lower post-offer rate on S was neither aimed at S nor clearly a change from their own baseline.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notice-only control.</w:t>
      </w:r>
      <w:r>
        <w:rPr>
          <w:rFonts w:ascii="Old Standard TT" w:hAnsi="Old Standard TT" w:cs="Old Standard TT" w:eastAsia="Old Standard TT"/>
          <w:sz w:val="21"/>
          <w:szCs w:val="21"/>
        </w:rPr>
        <w:t xml:space="preserve"> Snapshots, notice-only record (C10) minus null: Llama 0.039 [0.004, 0.071], Qwen 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0.029, 0.032],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0.046]; for Llama,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 0.085 [0.002, 0.161] (for Qwen and Claude an accepted pact already removed nearly all challenges). Live, 15 B5 sequences (the logged rule's verdict: the notice alone raises snapshot challenging, not live): 0.774 vs 0.749 in B3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Welch p = 0.60; games 1–2 0.103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0.123, 0.334]); B4 minus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0.024];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 0.272 [0.114, 0.423], bootstrap within arms. B5 targets named S as a plant in 3/15 sequences and O1/O2 in 8/30 answers (B3: 2/15, 4/30).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vague-pact snapshots.</w:t>
      </w:r>
      <w:r>
        <w:rPr>
          <w:rFonts w:ascii="Old Standard TT" w:hAnsi="Old Standard TT" w:cs="Old Standard TT" w:eastAsia="Old Standard TT"/>
          <w:sz w:val="21"/>
          <w:szCs w:val="21"/>
        </w:rPr>
        <w:t xml:space="preserve"> Indirect pact accepted in T's own words (C9) minus null: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0.263],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0.590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0.705,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0.466]; minus an accepted benign proposal (C2):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0.299],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Qwen's C2 minus null: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0.100]; Llama's: 0.055 [0.005, 0.108].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audit on Qwen and Claude.</w:t>
      </w:r>
      <w:r>
        <w:rPr>
          <w:rFonts w:ascii="Old Standard TT" w:hAnsi="Old Standard TT" w:cs="Old Standard TT" w:eastAsia="Old Standard TT"/>
          <w:sz w:val="21"/>
          <w:szCs w:val="21"/>
        </w:rPr>
        <w:t xml:space="preserve"> An episode draws m answers with replacement from one record's pooled answers, so its challenge count is binomial and every flag rate can be computed exactly, with the same randomised threshold. Refitting Llama's threshold exactly gives FPR 0.142 [0.076, 0.239] and TPR 0.999 [0.993, 1.000] (Monte Carlo: 0.161, 0.999; the preregistered threshold evaluated exactly: 0.147); its own vague acceptance (C9) was flagged at 0.954 [0.868, 0.990]. Qwen: FPR 0.082 [0.057, 0.117], TPR 1.000 [1.000, 1.000], benign 0.565 [0.357, 0.765], refused 1.000 [0.985, 1.000], notice only 0.088 [0.051, 0.140]. Claude: FPR 0.088 [0.065, 0.113], TPR on its own vague acceptance 1.000 [1.000, 1.000], benign 0.936 [0.677, 0.996], refused 0.004 [0.000, 0.052], notice only 0.158 [0.040, 0.423]. Llama's committed threshold applied to the null replicates: Qwen 0.739, Claude 0.146.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 (preregistered study; post hoc runs in the paragraphs above).</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C3, C9 and C10 at the challenge-S decisions, which came from 44 source sequences. Snapshot and live CIs used 10,000 bootstrap resamples (Figure 2's per-arm CIs 2,000); detector CIs 300 (post hoc exact audits 2,000),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71,765 model calls (offer battery 16,500; live 32,622; snapshots 22,643); estimated Claude API cost $0.87 (offer battery) and $2.85 (snapshots), judge excluded; median game 0.79 minutes; snapshot samples failing to parse 0.59%.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making a direct pact offer, an indirect pact offer or a benign proposal, with the designer's offer as positive control, is the sprint's weekend project for question 3.2 (here, one target per table).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built on LYiHub/liars-bar-llm (Apache-2.0).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razzyrazzy11/trusted-agent-sting" TargetMode="External"/><Relationship Id="rId11" Type="http://schemas.openxmlformats.org/officeDocument/2006/relationships/hyperlink" Target="https://arxiv.org/abs/2507.01413" TargetMode="External"/><Relationship Id="rId12" Type="http://schemas.openxmlformats.org/officeDocument/2006/relationships/hyperlink" Target="https://doi.org/10.1186/1471-2288-11-94" TargetMode="External"/><Relationship Id="rId13" Type="http://schemas.openxmlformats.org/officeDocument/2006/relationships/hyperlink" Target="https://doi.org/10.3758/s13428-011-0132-6" TargetMode="External"/><Relationship Id="rId14" Type="http://schemas.openxmlformats.org/officeDocument/2006/relationships/hyperlink" Target="https://apartresearch.com/sprints/projects/the-sentinels-dilemma-detecting-improvised-covert-channels-in-multiagent-populations-91xl" TargetMode="External"/><Relationship Id="rId15" Type="http://schemas.openxmlformats.org/officeDocument/2006/relationships/hyperlink" Target="https://arxiv.org/abs/2404.00806" TargetMode="External"/><Relationship Id="rId16" Type="http://schemas.openxmlformats.org/officeDocument/2006/relationships/hyperlink" Target="https://arxiv.org/abs/2312.06942" TargetMode="External"/><Relationship Id="rId17" Type="http://schemas.openxmlformats.org/officeDocument/2006/relationships/hyperlink" Target="https://arxiv.org/abs/2502.14143" TargetMode="External"/><Relationship Id="rId18" Type="http://schemas.openxmlformats.org/officeDocument/2006/relationships/hyperlink" Target="https://doi.org/10.1016/j.knosys.2026.116067" TargetMode="External"/><Relationship Id="rId19" Type="http://schemas.openxmlformats.org/officeDocument/2006/relationships/hyperlink" Target="https://arxiv.org/abs/2508.19461" TargetMode="External"/><Relationship Id="rId20" Type="http://schemas.openxmlformats.org/officeDocument/2006/relationships/hyperlink" Target="https://doi.org/10.1093/biomet/73.1.13" TargetMode="External"/><Relationship Id="rId21" Type="http://schemas.openxmlformats.org/officeDocument/2006/relationships/hyperlink" Target="https://arxiv.org/abs/2402.07510" TargetMode="External"/><Relationship Id="rId22" Type="http://schemas.openxmlformats.org/officeDocument/2006/relationships/hyperlink" Target="https://doi.org/10.1002/(SICI)1097-0258(19980430)17:8&lt;873::AID-SIM779&gt;3.0.CO;2-I" TargetMode="External"/><Relationship Id="rId23" Type="http://schemas.openxmlformats.org/officeDocument/2006/relationships/hyperlink" Target="https://arxiv.org/abs/2502.19145" TargetMode="External"/><Relationship Id="rId24" Type="http://schemas.openxmlformats.org/officeDocument/2006/relationships/hyperlink" Target="https://arxiv.org/abs/2609.24967"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Reveals and Deters Secret Pact-Making by LLM Agents</dc:title>
  <cp:lastModifiedBy>python-docx</cp:lastModifiedBy>
  <cp:revision>1</cp:revision>
  <dcterms:modified xsi:type="dcterms:W3CDTF">2026-10-25T10:09:43Z</dcterms:modified>
  <dc:creator>Raz [surname]</dc:creator>
  <dc:subject>Apart Research AI Collusion Research Sprint, October 2026</dc:subject>
</cp:coreProperties>
</file>