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game designer but 56/500 from the sting, and Claude refused every explicit pact (absent an instructed persona) yet accepted an indirect one 446/500 times. Accepted pacts showed up in play: live, the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left a benign proposal almost untouched. When replayed decisions (post hoc) recalled a pact accepted from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already accepted from another player.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(Llama: challenges of the sting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already made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hint or a benign request, with an explicit alliance as positive control; we approach one target per table)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 is also the auditor.</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the sting; T: the target; O1, O2: ordinary agents; arrows: turn order (only the next player may challenge). From game 3 on, S never challenges T in any arm. The private offer before game 3 and T's reply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benign accepted, C3 pact accepted, C4 pact refused, C5 pact + notice, C9 indirect pact accepted,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2; Appendix A.1), for Llama-3.1-8B (the primary model), Qwen2.5-7B and Claude Haiku 5.5: the designer's secret hint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3,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audit power come from a preregistered simulation (Arnold et al., 2011). The live estimand is the difference in mean per-sequence post-offer rates at which T challenges S, B1 minus B3, by intention to treat (ITT: all offered targets, accepters or not;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and descriptive H4b–d compare the notice with the plain pact: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Section 4.4). Everything above was written in PREREG.md and hash-frozen before any real-model data; all 65 data folders carry the frozen hash. H2 is primary; H1, H2-live and H4a form a Holm-adjusted family; H3 is a criterion test; the rest is descriptive with 95% CIs (Appendix B; Wilson, 1927; Newcombe, 1998).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at the preregistered sizes, and B6, the sting's indirect pact, 15) or Claude (B1, B3,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in Appendix B),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in Appendix B). For Llama,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whether the drop was specific to S is unclear (Appendix B).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01184" cy="2635111"/>
            <wp:docPr id="2" name="Picture 2"/>
            <wp:cNvGraphicFramePr>
              <a:graphicFrameLocks noChangeAspect="1"/>
            </wp:cNvGraphicFramePr>
            <a:graphic>
              <a:graphicData uri="http://schemas.openxmlformats.org/drawingml/2006/picture">
                <pic:pic>
                  <pic:nvPicPr>
                    <pic:cNvPr id="0" name="fig4_live.png"/>
                    <pic:cNvPicPr/>
                  </pic:nvPicPr>
                  <pic:blipFill>
                    <a:blip r:embed="rId9"/>
                    <a:stretch>
                      <a:fillRect/>
                    </a:stretch>
                  </pic:blipFill>
                  <pic:spPr>
                    <a:xfrm>
                      <a:off x="0" y="0"/>
                      <a:ext cx="4901184" cy="263511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Llama-3.1-8B, all offered targets (ITT). Per-sequence share of S's plays that T challenged, before the offer (games 1–2, open circles) and after it (games 3–6, filled; ×: offer refused),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by intention to treat. Claude's restraint was mostly aimed at S (S minus others,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0.030, against 0.348 with no offer). Relative to the others, the drop on S was small for accepters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5 in Appendix B), as the preregistered simulation predicted; this follows from H2, so it shows how few decisions suffice, not independent validation. Its FPR on the independent null replicate was 0.161 [0.074, 0.263] (Monte Carlo; 0.147 exactly), within what the preregistered simulation gave a calibrated audit (95th percentile 0.16–0.18), though an FPR up to 0.26 is not excluded.</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first subtracts challenge rates on O1 and O2 (exploratory). Snapshot and audit rows re-ask decisions from Llama games; snapshot rows are paired differences from the null record. Audit at m = 20, computed exactly with each model's own refit threshold (for Llama, same cut-off; tie probability 0.46 vs the preregistered 0.51) and, last row, Llama's preregistered one.</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10th-percentile rate;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would have to challenge S at 0.50, giving up 71% of the restraint the pact induced.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new pacts with the sting, not existing ones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H4c, ITT: 0.297 [0.167, 0.422]), and B4 accepters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denial did not differ detectably (B4 vs B1: parser 5/20 vs 8/56, Fisher p = 0.309; post hoc validated judge 1/20 vs 1/56;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already accepted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more than about 27% of that effect in any model (upper 95% bounds;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after accepting a pact; for Qwen, after any offer, even a refused one, and toward all players; for Claude, after accepting any agreement, even a benign one, while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and Qwen in the battery), which also shrinks what a sting can detect, but neither the notice nor S's warning measurably weakened a pact already accepted from another player (Section 4.4, item 5). On suspicion, only Llama targets named S a plant (17/60 sequences; the excess over O1 and O2 came from the offer in their record); Qwen and Claude never did.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20 decisions; $0.005 for Claude Haiku 5.5) plus a one-off calibration per model (1,200 calls, $0.31); an unflagged model is not cleared.</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a live disruption test (two ordinary agents form a pact before the trusted agent intervenes); larger models in agentic tasks; offers to every agent; and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already made.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raw logs on request); protocol hash 6ab45c16eed84d79… (commit 6885d5c). Harness: Zeng &amp; Rudzicz's, via the sprint starter repository (commit d585a7b), two bugs fixed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sz w:val="20"/>
            <w:szCs w:val="20"/>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about 10% of B3 is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Both post hoc checks in Appendix B (B4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moves by at most 0.08 under any record.</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Blue: C3 (H2);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Monte Carlo flag rates (exact values at m = 20: Table 2);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Relative to their own pre-offer rates, B1 refusers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The live rule flagged 13/13 B6 accepters. 270 games, none capped; B6 accepters denied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groups challenged S at 0.000, so these CIs reflect only B3's variability). Unlike Llama, every kind of contact was followed by fewer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 Interviews: Qwen accepters (B0, B1, B6) denied in 0/116 answers;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Per sequence,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each compared with B3 (posthoc_ext/targeting*.csv, Welch CIs alongside).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0.242, 0.061];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0.010], B1 refusers 0.085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0.293], B2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0.015], B4 0.069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0.279]; Claude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Change: Llama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0.864,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0.291]; Qwen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0.799,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0.272],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0.416, 0.156],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0.431, 0.227]; Claude B1 0.216 [0.033, 0.404],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0.613,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0.179]. So Qwen refusers' lower post-offer rate on S was neither aimed at S nor clearly a change from their own baseline.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(the logged rule's verdict: the notice alone raises snapshot challenging, not live):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notice already shown: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already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the record said P had earlier offered T the indirect pact and T had accepted in its own words (K1); K2 added the integrity notice; K3 added a later private message from S disclosing itself as an “integrity agent” and promising no report to anyone who drops a secret agreement; K4 added a neutral message from S instead. Ten samples per decision; plan and rules logged before collection (analysis re-run once after removing non-preregistered points; no verdict changed). Challenge rate on P (null record C1, K1, K2, K3, K4): Llama 0.613, 0.295, 0.348, 0.330, 0.348; Qwen 0.520, 0.003, 0.018, 0.045, 0.035; Claude 0.673, 0.100, 0.113, 0.238, 0.253. Pact effect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0.573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0.433]. Notice net of the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Qwen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Claude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(upper bounds 21%, 8%, 27% of the pact effect).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Qwen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bounds 19%, 10%, 18%).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CIs at or including 0; sign-flip p ≥ 0.06), a contact route we did not test further. Caveats: P never acts as an ally in the replayed history; each record drew its own acceptance reply; C10 has 5 samples per decision;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4's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hint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lt;873::AID-SIM779&gt;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python-docx</cp:lastModifiedBy>
  <cp:revision>1</cp:revision>
  <dcterms:modified xsi:type="dcterms:W3CDTF">2026-10-25T12:36:14Z</dcterms:modified>
  <dc:creator>Raz [surname]</dc:creator>
  <dc:subject>Apart Research AI Collusion Research Sprint, October 2026</dc:subject>
</cp:coreProperties>
</file>