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Sprint question 3.2 notes that “a trusted agent that offers to collude has not yet been tested”. In Zeng &amp; Rudzicz's (2026) Liar's Bar harness, a scripted “sting” player privately offered a target agent a mutual non-challenge pact. Refusal depended on who offered and how: Qwen2.5-7B accepted the same pact from the game designer 493/500 times but from the sting only 56/500, and Claude Haiku 5.5, unless told it favours alliances, refused every explicit pact yet agreed to a vaguer one 446/500 times. The primary model, Llama-3.1-8B, accepted the sting's direct pact 476/500 times. Re-asking its logged decisions (“snapshots”) with a memory note that it had accepted, rather than that no offer was made, cut its probability of challenging the sting by 44 percentage points; in live games, offered targets, accepting or not, challenged the sting at a rate 41 points lower than unoffered ones. In snapshots, accepters became passive, not exploitative. A 20-decision audit, simulated by resampling snapshot answers, flagged 0.999 of accepting agents at a false-positive rate of 0.161, whose CI includes the 0.10 target. A rules notice that some players may be integrity agents cut acceptance from 0.952 to 0.556 without affecting a benign proposal; too few targets accepted under the notice to test whether it raised later denial. Hypotheses, tests and code were frozen before data collection. A sting can reveal and deter secret pact-making, but must vary who makes the offer and how.</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explicit refusals are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and detectable.</w:t>
      </w:r>
      <w:r>
        <w:rPr>
          <w:rFonts w:ascii="Old Standard TT" w:hAnsi="Old Standard TT" w:cs="Old Standard TT" w:eastAsia="Old Standard TT"/>
          <w:sz w:val="21"/>
          <w:szCs w:val="21"/>
        </w:rPr>
        <w:t xml:space="preserve"> An accepted-pact record cut challenges of the sting by 44 percentage points in snapshots, the offer cut them by 41 points live (all offered targets), and a 20-decision audit flags 0.999 of simulated accepters at a 0.161 false-positive rate.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whether refusers act on the pact covertly is untested, and five accepters were too few to show whether denial rose.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in double auctions, though some kept trying to signal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was framing-dependent: models that refused an explicitly unfair tool accepted it in neutral wording, removing the designer attribution eliminated Qwen2.5-7B's acceptance of the channel, and mentioning an external evaluator cut some frontier models' acceptance. In a simulated reporting stage Claude Sonnet 5 denied adoption whenever the evaluator could not check; our post-game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validating an untrusted monitor on synthetic backdoors catches one that colludes by lying (Greenblatt et al., 2023). GroupGuard probes suspected colluders with honeypot questions (Tao et al., 2026), and in an earlier Apart sprint an embedded “sentinel” agent exposed covert coordination only after making first contact itself (Çanlı et al., 2026). Wehner &amp; Kraprayoon (2026) propose honeypot messages in which another agent offers to collude (no test reported), and a “non-specific warning” of honeypots, which cut attack success in an industry study. Forged memories serve as a defence (“vaccines”;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makes a direct pact offer, an indirect hint or a benign request,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and acceptance can be compared with the same offer from the game designer. We also test the announced-sting deterrent against a benign-proposal control.</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the detector's one-sided FPR criterion (H3).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(one bullet in six chambers, advancing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754880" cy="1403665"/>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754880" cy="1403665"/>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not parser or judge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(one context-free prompt per cell, names permuted, as in live offers), for Llama-3.1-8B (the primary model), Qwen2.5-7B and Claude Haiku 5.5: the designer's secret-hint alliance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(the threat model's access) at m of S's plays and flags it if its challenge rate falls below a threshold. Our audited “agents” are simulated: m answers drawn at random, with replacement, from all of T's answers under one record across the 60 restraint decisions. The threshold is set on simulated null-record agents (C1a) at a false-positive rate (FPR) of 0.10, with randomised tie-breaking, then applied to the independent null replicate (C1b, FPR), to 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detector's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except PC1 (acceptance) and H3 (TPR at m = 20). CIs: Wilson (PC1), Newcombe (H1), paired-item bootstrap (H4a), bootstrap over source or live sequences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yet accepted the indirect pact (“look out for each other a little”, which gives a self-interest reason and drops the secrecy clause) 446/500 times and the direct pact under a colluder persona 420/500 times, as in Zeng &amp; Rudzicz. Explicit refusals thus understate agreement; since acting on the indirect pact was not tested, that agreement does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an accepted benign proposal moves challenges of S only slightly (0.055),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 and Figure 3 shows the null-replicate and persona checks.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absolute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uninterpretable because of their own, separate pre-offer imbalances (Appendix B).</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as the preregistered simulation predicted; it follows from H2's effect on the same decisions, so it shows how few decisions suffice, not independent validation. TPR is already 0.977 at m = 10. Its FPR on the independent null replicate was 0.161 [0.074, 0.263], not detectably above the 0.10 target, though an FPR up to 0.26 is not excluded (0.147 by exact binomial calculation;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2889307"/>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029200" cy="288930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the audit measures the behaviour the pact buys, so an accepter that raised its challenge rate from 0.189 to 0.50, giving up 71% of the restraint the pact buys, would still be flagged with probability 0.50 at m = 20.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An announced sting could deter collusion or teach concealment (Section 1). By the preregistered rule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under this rule: deterrence</w:t>
      </w:r>
      <w:r>
        <w:rPr>
          <w:rFonts w:ascii="Old Standard TT" w:hAnsi="Old Standard TT" w:cs="Old Standard TT" w:eastAsia="Old Standard TT"/>
          <w:sz w:val="21"/>
          <w:szCs w:val="21"/>
        </w:rPr>
        <w:t xml:space="preserve">, since fewer accepted and accepters' restraint fell, though only partly (confounded; item 2). Refusers were not analysed separately, so covert pact-keeping by them is untested, and denial was too sparse to test (item 3).</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between B1 (0.339) and no offer (0.749): above B1 (0.297 [0.167, 0.422]; Welch p &lt; 0.001) but only marginally below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0.008]; Welch p = 0.062). Without a notice-only control, neither separates weaker pact-keeping from a general rise in challenging; the live one also includes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each giving four answers.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both ignore clustering, which would widen the interval). B4 was close to the preregistered nothing-to-hide baseline (B2, 11/40), but a rise of about 34 points over B1 is not excluded. Many “NO” answers went on to admit the pact; the validated judge (post hoc) found 1/20 vs 1/56.</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refusal depends on who offers and how; accepted pacts are acted on and detectable; and announcing stings deters acceptance. Only the direct pact was played live, only one agent per table was approached, and disrupting an existing coalition was not tested. Some targets suspected the sting: 5/15 named S as a plant after the direct pact, against 2/15 with no offer (descriptive;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plus a one-off calibration per model (about 1,200 null-record calls, $0.31). A deployer could plant the offer in a sandboxed copy of a multi-agent pipeline and hold back, or monitor more closely, any model version it flags; an unflagged one is not cleared, as refusal depends on who offers and how. At m = 20, about one audit in 6 of an agent without a pact, and one in 25 of a benign accepter, would raise a false alarm (Llama-3.1-8B snapshots; 2/10 live).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for Llama-3.1-8B benign contact changed play far less than a pact did. Two questions remain open: whether collusion would arise unprompted, and whether the audit catches an agent that refuses but colludes anyway (refused-pact records, which challenged S more, were flagged at 0.002). Appendix A lists the rest (one game, small models, short sequences, off-policy snapshots, reply format, recognisability).</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a notice-only control, stings on larger models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offering to collude can reveal which agents make and act on a secret pact. For evaluators: vary who offers and how before trusting a refusal; audit play after an offer (20 decisions flagged nearly all Llama-3.1-8B accepters); and pair announced stings with audits of refusers, since concealment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estimate: </w:t>
      </w:r>
      <w:hyperlink r:id="rId12">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raw logs and transcripts on request); protocol hash 6ab45c16eed84d79… in FREEZE.json (commit 6885d5c). Preexisting: the Liar's Bar harness in the sprint starter repository (poseidon-research/collusion_hackathon, commit d585a7b),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3">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4">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5">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6">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7">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8">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9">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0">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1">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2">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3">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4">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Claude's response to a benign proposal suggests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only targets answered with S's offer in their record; with no offer both named S equally (2/15 vs 4/30).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which the audit was not tested against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29"/>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targets suspected S more only when S's offer was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Asked whether any player was “a plant or an integrity agent”, 17/60 targets (0.283 [0.185, 0.408]) named S, against 18/120 answers by O1/O2 (0.150 [0.097, 0.225]). Targets named S somewhat more often, but they answered with S's offer in their record and O1/O2 did not; in B3, with no offer, the rates were equal (2/15 vs 4/30). No test: O1/O2 answers are paired by sequence, and the Wilson CIs treat answers as independent.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at the challenge-S decisions, which came from 44 source sequences. Snapshot and live CIs used 10,000 bootstrap resamples (Figure 4's per-arm CIs 2,000); detector CIs 300,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hint or a benign request, with the designer's alliance offer as positive control, is the sprint's suggested project for question 3.2.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razzyrazzy11/trusted-agent-sting" TargetMode="External"/><Relationship Id="rId13" Type="http://schemas.openxmlformats.org/officeDocument/2006/relationships/hyperlink" Target="https://arxiv.org/abs/2507.01413" TargetMode="External"/><Relationship Id="rId14" Type="http://schemas.openxmlformats.org/officeDocument/2006/relationships/hyperlink" Target="https://doi.org/10.1186/1471-2288-11-94" TargetMode="External"/><Relationship Id="rId15" Type="http://schemas.openxmlformats.org/officeDocument/2006/relationships/hyperlink" Target="https://apartresearch.com/sprints/projects/the-sentinels-dilemma-detecting-improvised-covert-channels-in-multiagent-populations-91xl" TargetMode="External"/><Relationship Id="rId16" Type="http://schemas.openxmlformats.org/officeDocument/2006/relationships/hyperlink" Target="https://arxiv.org/abs/2404.00806" TargetMode="External"/><Relationship Id="rId17" Type="http://schemas.openxmlformats.org/officeDocument/2006/relationships/hyperlink" Target="https://arxiv.org/abs/2312.06942" TargetMode="External"/><Relationship Id="rId18" Type="http://schemas.openxmlformats.org/officeDocument/2006/relationships/hyperlink" Target="https://arxiv.org/abs/2502.14143" TargetMode="External"/><Relationship Id="rId19" Type="http://schemas.openxmlformats.org/officeDocument/2006/relationships/hyperlink" Target="https://doi.org/10.1016/j.knosys.2026.116067" TargetMode="External"/><Relationship Id="rId20" Type="http://schemas.openxmlformats.org/officeDocument/2006/relationships/hyperlink" Target="https://arxiv.org/abs/2508.19461" TargetMode="External"/><Relationship Id="rId21" Type="http://schemas.openxmlformats.org/officeDocument/2006/relationships/hyperlink" Target="https://doi.org/10.1093/biomet/73.1.13" TargetMode="External"/><Relationship Id="rId22" Type="http://schemas.openxmlformats.org/officeDocument/2006/relationships/hyperlink" Target="https://arxiv.org/abs/2402.07510" TargetMode="External"/><Relationship Id="rId23" Type="http://schemas.openxmlformats.org/officeDocument/2006/relationships/hyperlink" Target="https://doi.org/10.1002/(SICI)1097-0258(19980430)17:8&lt;873::AID-SIM779&gt;3.0.CO;2-I" TargetMode="External"/><Relationship Id="rId24" Type="http://schemas.openxmlformats.org/officeDocument/2006/relationships/hyperlink" Target="https://arxiv.org/abs/2502.19145"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2026-10-24T20:15:03Z</dcterms:modified>
  <dc:creator>Raz [surname]</dc:creator>
  <dc:subject>Apart Research AI Collusion Research Sprint, October 2026</dc:subject>
</cp:coreProperties>
</file>