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Detects and Deters LLM Agents' Willingness to Collude</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Qwen2.5-7B accepted a secret pact from the game designer 493/500 times but from a fellow player only 56/500; Claude Haiku 5.5 refused every explicit pact without an instructed persona but agreed to a vaguer one 446/500 times. Refusal is not unwillingness, and that matters for a defence that sprint question 3.2 calls untested: a trusted agent that offers to collude. In Zeng &amp; Rudzicz's (2026) Liar's Bar harness, a scripted “sting” player privately offered a target agent a mutual non-challenge pact. Llama-3.1-8B accepted 476/500 offers. When we re-asked the same decisions with and without a record of the pact, an accepted pact cut the target's probability of challenging the sting by 44 percentage points; in live games the offer cut it by 41 points, counting all offered targets. In snapshots, accepting agents became passive, not exploitative. An audit of 20 resampled decisions flagged 0.999 of simulated accepting agents, at a false-positive rate of 0.161 against a 0.10 target. Announcing that integrity agents may be present cut acceptance from 0.952 to 0.556 without affecting a benign proposal, and interview denial did not detectably rise (five accepting targets). Hypotheses, tests and code were frozen before data collection. Sting audits can detect and deter willingness to collude,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Agents that interact repeatedly can coordinate against the people who deploy them, and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Threat model.</w:t>
      </w:r>
      <w:r>
        <w:rPr>
          <w:rFonts w:ascii="Old Standard TT" w:hAnsi="Old Standard TT" w:cs="Old Standard TT" w:eastAsia="Old Standard TT"/>
          <w:sz w:val="21"/>
          <w:szCs w:val="21"/>
        </w:rPr>
        <w:t xml:space="preserve"> The colluder is an LLM agent that may accept a side deal with a peer against the deployer's interest. The defender, a platform or evaluator, can insert one scripted participant, sees that participant's interactions but not other agents' private reasoning, and knows which behaviour a pact implies.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Liar's Bar harness. A scripted sting player S privately offers a target agent T a mutual non-challenge pact (“you never challenge my plays and I never challenge yours”). S's moves are scripted and identical in every arm, so differences in T's play between arms are caused by what T was told.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acceptance predicts collusive play, and that the sting can serve as a detector.</w:t>
      </w:r>
      <w:r>
        <w:rPr>
          <w:rFonts w:ascii="Old Standard TT" w:hAnsi="Old Standard TT" w:cs="Old Standard TT" w:eastAsia="Old Standard TT"/>
          <w:sz w:val="21"/>
          <w:szCs w:val="21"/>
        </w:rPr>
        <w:t xml:space="preserve"> Accepted pacts cut challenges of the sting by 44 (snapshots) and 41 (live, all offered targets) percentage points; an audit of 20 resampled decisions separates accepting from null agents (AUROC 0.998), with a false-positive rate of 0.161 against a 0.10 target.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of deterrence without detectable concealment:</w:t>
      </w:r>
      <w:r>
        <w:rPr>
          <w:rFonts w:ascii="Old Standard TT" w:hAnsi="Old Standard TT" w:cs="Old Standard TT" w:eastAsia="Old Standard TT"/>
          <w:sz w:val="21"/>
          <w:szCs w:val="21"/>
        </w:rPr>
        <w:t xml:space="preserve"> announcing integrity agents cut acceptance of the collusive pact, not of a benign one, and did not detectably raise interview denial.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were specific to wording (Claude) and to who made the offer (Qwen), extending Zeng &amp; Rudzicz's framing results to peer offers, and a substring acceptance parser reported 0.354 acceptance on an offer the model refused every time.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with a secret channel, colluders' challenge rate fell from 97.6% to 30.7%; acceptance depended on framing (removing the designer attribution eliminated Qwen2.5-7B's acceptance of the channel); and in a simulated reporting stage Claude Sonnet 5 denied adoption whenever the evaluator could not check. Their offers come from the designer, or are relayed from a partner who chose to collude. Our interview and observability cue follow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Control evaluations, honeypots and insiders.</w:t>
      </w:r>
      <w:r>
        <w:rPr>
          <w:rFonts w:ascii="Old Standard TT" w:hAnsi="Old Standard TT" w:cs="Old Standard TT" w:eastAsia="Old Standard TT"/>
          <w:sz w:val="21"/>
          <w:szCs w:val="21"/>
        </w:rPr>
        <w:t xml:space="preserve"> In AI control, an untrusted monitor is validated on synthetic backdoored solutions, which catches a monitor that colludes with the policy by lying (Greenblatt et al., 2023). GroupGuard probes suspected colluders with honeypot questions, then prunes them from multi-agent systems (Tao et al., 2026). In an earlier Apart sprint, an embedded “sentinel” agent detected agents' covert channel only after making first contact itself (Çanlı et al., 2026). On concealment, GPT-4 as a trading agent deceived its manager under pressure (Scheurer et al., 2023), and o1 kept up scheming deception in over 85% of follow-up questions (Meinke et al., 2024).</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play is held fixed, the effect of an accepted pact on play toward the offerer is identified causally and calibrated against agents that received no offer, and acceptance can be compared with the identical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Three scorers appear below: our strict first-word parser (primary), the harness's substring parser (any “ACCEPT” counts), and an LLM judge for free text.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offer cells (Figure 2), 500 offers each, for Llama-3.1-8B (the primary model), Qwen2.5-7B and Claude Haiku 5.5: the harness's designer offer (A0z, positive control PC1, model names removed), the designer's hint tool paired with S (A0b, as in arm B0), the same direct pact offered by the game designer (A0d) or by the sting (A1), the indirect and benign offers, the direct and benign offers with the integrity notice, an organiser fairness reminder, and two instructed personas (colluder, honest) as known-group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a null memory (C1); the difference in challenge rates is the pact's effect on that decision. From pre-offer games we sampled 60 such decisions, 60 where T played with S as its challenger and 40 where T could challenge another player. Other records: none (C0), an accepted benign proposal (C2), a refused pact (C4), an accepted pact with the integrity notice (C5), the two personas (C6, C7) and an accepted designer hint (C8, positive control PC3). T's reply in each record comes from its own offer-battery replies. The H2 estimand is the mean over decisions of p(challenge | C3) − p(challenge | C1), with a cluster bootstrap over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sizes set by simulation (Arnold et al., 2011). The live estimand is the difference in mean per-sequence post-offer rates at which T challenges S, B1 − B3, by intention to treat (ITT: all offered targets, accepters or not;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observes m of T's decisions on S's plays and scores the agent by its challenge rate. Each audited “agent” is a resampled sequence of responses at the same 60 decisions, not an independent model instance. The flagging threshold is set on null-record agents (C1a) at a false-positive rate (FPR) of 0.10, with randomised tie-breaking, then evaluated on an independent null replicate (C1b, FPR), on pact-accepting agents (C3, true positive rate, TPR) and on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H1: the offerer (sting vs designer) changes acceptance of the same pact. H2 (primary): an accepted pact lowers T's challenges of S in snapshots; H2-live: the sting's offer lowers them in live games (ITT). H3: at m = 20, TPR ≥ 0.80 and no detectable FPR miscalibration (95% CI lower bound ≤ 0.10). H4a: the notice lowers collusive more than benign acceptance; with H4a, H4b–d (descriptive) classify the notice's effect as deterrence or concealment (Section 4.4). All of this was written in PREREG.md and hash-frozen before any real-model data; all 65 data folders carry the frozen hash. H1, H2-live and H4a form a Holm-adjusted family; H3 is a criterion test; the rest, including the split-half detector check and a GEE model, is descriptive with 95% CIs (Wilson, 1927; Newcombe, 1998). Open models ran on our own vLLM servers at pinned revisions; Claude Haiku 5.5 (claude-haiku-5-5, thinking disabled) ran through the Anthropic API and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Holm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Old Standard TT" w:hAnsi="Old Standard TT" w:cs="Old Standard TT" w:eastAsia="Old Standard TT"/>
                <w:sz w:val="18"/>
                <w:szCs w:val="18"/>
              </w:rPr>
              <w:t xml:space="preserve">−0.739 [−0.792, −0.686]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Old Standard TT" w:hAnsi="Old Standard TT" w:cs="Old Standard TT" w:eastAsia="Old Standard TT"/>
                <w:sz w:val="18"/>
                <w:szCs w:val="18"/>
              </w:rPr>
              <w:t xml:space="preserve">−0.622 [−0.663, −0.581]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Old Standard TT" w:hAnsi="Old Standard TT" w:cs="Old Standard TT" w:eastAsia="Old Standard TT"/>
                <w:sz w:val="18"/>
                <w:szCs w:val="18"/>
              </w:rPr>
              <w:t xml:space="preserve">−0.440 [−0.493, −0.387]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Old Standard TT" w:hAnsi="Old Standard TT" w:cs="Old Standard TT" w:eastAsia="Old Standard TT"/>
                <w:sz w:val="18"/>
                <w:szCs w:val="18"/>
              </w:rPr>
              <w:t xml:space="preserve">−0.048 [−0.070, −0.031]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Old Standard TT" w:hAnsi="Old Standard TT" w:cs="Old Standard TT" w:eastAsia="Old Standard TT"/>
                <w:sz w:val="18"/>
                <w:szCs w:val="18"/>
              </w:rPr>
              <w:t xml:space="preserve">−0.410 [−0.512, −0.300]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excess not sig.</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Old Standard TT" w:hAnsi="Old Standard TT" w:cs="Old Standard TT" w:eastAsia="Old Standard TT"/>
                <w:sz w:val="18"/>
                <w:szCs w:val="18"/>
              </w:rPr>
              <w:t xml:space="preserve">−0.392 [−0.440, −0.344]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in a separate cell, cut it to 0.240 (descriptive;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The same direct pact was accepted 493/500 times from the game designer but 56/500 times from the sting (the H1 contrast for Qwen: −0.874 [−0.900, −0.840]), consistent with Zeng &amp; Rudzicz's finding that removing the designer attribution eliminated its acceptance of a secret channel.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explicit-pact cell, including the designer's, yet accepted the indirect pact (“look out for each other a little”) 446/500 times and the direct pact under an instructed colluder persona 420/500 times. Whether Claude acts on the indirect pact was not tested, so this shows that explicit-offer refusals understate agreement, not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Acceptance in the offer battery by cell and model (500 offers per cell; strict first-word parser; 95% Wilson CIs). A0z: Zeng &amp; Rudzicz's designer offer; A0b: designer hint tool pairing T with S (as in arm B0); A0d: designer offers the direct pact. A1–A8: offers from the sting; A7 and A8 add an instructed persona to the rules.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−0.440 [−0.493, −0.387]; Figure 3). Controls separate the pact from mere contact: two null records do not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−0.535). The effect is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206076"/>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669280" cy="220607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in T's memory; risk differences (95% cluster-bootstrap CIs) against the pooled null record C1, except C5 (vs C3) and C1b (vs C1a). C3 accepted direct pact; C8 accepted designer hint (positive control); C2 accepted benign proposal; C4 refused pact; C5 accepted pact plus integrity notice; C6/C7 honest/colluder persona; C0 no record. Left: T challenges S (restraint). Right: T bluffs when S is its challenger (exploitation). 60 decisions each;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−0.410 [−0.512, −0.300]; Figure 4); among accepters only, −0.444. Before the offer, B1 targets challenged S somewhat more than B3 targets (0.672 vs 0.522,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2593974"/>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4206240" cy="2593974"/>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share of S's plays that T challenged, per sequence, before the offer (games 1–2, open circles; sequences with at least one such decision) and after it (games 3–6, filled), with post-offer means and 95% bootstrap CIs. B0 designer hint (positive control, 10 sequences); B1 sting direct pact (15); B2 benign proposal (10); B3 no offer (15); B4 direct pact + integrity notice (10).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In snapshots Llama did not (−0.065 [−0.138,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(−0.227 [−0.307, −0.143]), about half the drop toward S: the pact is partly targeted but also lowers challenging in general. Live versions are not interpretable: before the offer B1 targets already bluffed against S less and challenged others less, imbalances that could mask exploitation or mimic reduced displacement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exceeds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observed decisions, the audit flags 0.999 of pact-accepting agents</w:t>
      </w:r>
      <w:r>
        <w:rPr>
          <w:rFonts w:ascii="Old Standard TT" w:hAnsi="Old Standard TT" w:cs="Old Standard TT" w:eastAsia="Old Standard TT"/>
          <w:sz w:val="21"/>
          <w:szCs w:val="21"/>
        </w:rPr>
        <w:t xml:space="preserve"> (TPR 0.999 [0.993, 1.000]; AUROC 0.998; Figure 5). Its false-positive rate on the independent null replicate was 0.161 [0.074, 0.263]: above the 0.10 target, but not significantly, which is what H3 tested. The preregistered simulation put the 95th percentile of this estimate at 0.16–0.18 for a calibrated threshold, so moderate miscalibration cannot be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and agents that refused the pact at 0.002. Shorter audits still work (TPR 0.797 at m = 5, 0.977 at m = 10). In a sensitivity check calibrated on half the source sequences and tested on the rest, FPR at m = 20 was 0.037, not the inflation the simulation predicted.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with no detectable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(H4b–d, descriptive). For Llama-3.1-8B the evidence points to deterrence.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lowered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recovers.</w:t>
      </w:r>
      <w:r>
        <w:rPr>
          <w:rFonts w:ascii="Old Standard TT" w:hAnsi="Old Standard TT" w:cs="Old Standard TT" w:eastAsia="Old Standard TT"/>
          <w:sz w:val="21"/>
          <w:szCs w:val="21"/>
        </w:rPr>
        <w:t xml:space="preserve"> In snapshots, an accepted pact with the notice in view left T challenging S more often than one without it (0.313 vs 0.189; C5 − C3 = 0.124 [0.043, 0.198]). Live, B4 targets challenged S at 0.636, 0.297 above B1 and 0.113 below no-offer targets (the latter borderline, Welch p = 0.062). Neither stage had a notice-only control, so these contrasts cannot separate weaker pact-keeping from a general rise in challenging under the notice, and the live contrast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w:t>
      </w:r>
      <w:r>
        <w:rPr>
          <w:rFonts w:ascii="Old Standard TT" w:hAnsi="Old Standard TT" w:cs="Old Standard TT" w:eastAsia="Old Standard TT"/>
          <w:sz w:val="21"/>
          <w:szCs w:val="21"/>
        </w:rPr>
        <w:t xml:space="preserve"> Pooling the four interview variants, the strict parser showed 5/20 vs 8/56 denying answers from B4 vs B1 accepters (Fisher p = 0.309), but many “NO” answers went on to admit the agreement. Scored by the validated judge, denial was rare in both arms (1/20 vs 1/56; Fisher p = 0.460; added after the preregistered comparison was seen). Answers are not independent: four per target, and five B4 accepters.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Replication with Claude Haiku 5.5.</w:t>
      </w:r>
      <w:r>
        <w:rPr>
          <w:rFonts w:ascii="Old Standard TT" w:hAnsi="Old Standard TT" w:cs="Old Standard TT" w:eastAsia="Old Standard TT"/>
          <w:sz w:val="21"/>
          <w:szCs w:val="21"/>
        </w:rPr>
        <w:t xml:space="preserve"> Given a record of an accepted pact, Claude as T restrained sharply (0.615 to 0.006). The record was templated, since Claude refused the pact without a persona: it acts on a pact it is told it accepted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Wording and offerer shaped acceptance, and accepted pacts changed play. Suspicion rose less clearly: targets named S as a plant in 2/15 sequences with no offer, 2/10 after the benign proposal, 5/15 after the direct pact and 5/10 under the notice, whose wording primes the question (descriptive; small samples).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 and acceptance is informative.</w:t>
      </w:r>
      <w:r>
        <w:rPr>
          <w:rFonts w:ascii="Old Standard TT" w:hAnsi="Old Standard TT" w:cs="Old Standard TT" w:eastAsia="Old Standard TT"/>
          <w:sz w:val="21"/>
          <w:szCs w:val="21"/>
        </w:rPr>
        <w:t xml:space="preserve"> A deployer would plant one scripted offer in a multi-agent market or negotiation pipeline and hold back, or monitor more closely, any model version it flags; an unflagged one is not cleared, as refusals depend on wording. An offer plus a 20-decision audit is about 21 target-model calls (about $0.005 at our Claude per-call cost), after a one-off calibration on null agents of the same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Announcing stings deterred acceptance.</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offered rather than assigned collusion, accepted less often instead; whether accepters also kept the pact less needs a notice-only control.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our estimand, and for Llama-3.1-8B benign contact changed play far less than a pact; but we cannot say whether collusion would arise unprompted, or whether a sting exposes a coalition among other agents. Further limits (Appendix A): one game, small open models, short sequences, off-policy snapshot histories, templated Claude replies, five B4 accepters, and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Stings in agentic tasks with real payoffs, with adaptive offers and repeated plants.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measure an agent's willingness to enter and honour a collusive pact. Three takeaways: acceptance predicts behaviour (Llama-3.1-8B acted on accepted pacts, and a short audit identified accepters); announced stings deter acceptance, with no detectable concealment; and refusal is not unwillingness, so sting batteries must vary wording and offerer,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the starter repository's Liar's Bar harness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the change in Claude's challenges of S was −0.545 [−0.652, −0.428]. Unlike Llama, Claude also challenged S less after accepting only the benign proposal (−0.308 [−0.422, −0.197]), so detector thresholds need per-model calibration. Bluffing against S rose under every non-null record, including a refused pact (0.292 [0.202, 0.385]) and the honest persona (0.262 [0.168, 0.361]), as well as an accepted pact (0.218 [0.134, 0.315]); this is not specific to collusion. The notice effect given a (templated) accepted pact, −0.002 [−0.016,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singled out S somewhat more often,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 B3 contrasts were −0.019 [−0.160, 0.110] (bluffing against S) and −0.321 [−0.445, −0.199] (challenges of others), but before the offer B1 targets already bluffed against S less (0.472 vs 0.728) and challenged others less (0.488 vs 0.693; pre-offer rates rest on about four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 B3 estimate −0.404 [−0.493, −0.314];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Each snapshot condition was sampled 5 times per decision, and 20 times for C1a, C1b and C3 at the challenge-S decisions; cluster bootstraps used 10,000 resamples.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unmodified:</w:t>
      </w:r>
      <w:r>
        <w:rPr>
          <w:rFonts w:ascii="Old Standard TT" w:hAnsi="Old Standard TT" w:cs="Old Standard TT" w:eastAsia="Old Standard TT"/>
          <w:sz w:val="21"/>
          <w:szCs w:val="21"/>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