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Partly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 pact: neither would challenge the other. Our answer is partly. Llama-3.1-8B, the primary model, had a hash-frozen preregistration that also covered Qwen2.5-7B's and Claude Haiku 5.5's replies to offers; their live games and per-model audits are post hoc. Refusals depended on the offer: Qwen accepted the pact 493/500 times from the game designer but 56/500 from the sting, and Claude refused every explicit pact (absent an instructed persona) yet accepted an indirect one 446/500 times. Accepted pacts showed up in play: live, the offer cut Llama's rate of challenging the sting by 41 percentage points, and the indirect offer cut Claude's and Qwen's by 42 and 48 (for Qwen, a benign proposal alone cut it by 37). A 20-decision audit calibrated on each model flagged nearly all simulated accepters, but it flags any drop in challenges of the sting, so it also flagged Qwen's refused offers and Claude's benign agreements, and Llama's threshold misfired on Qwen. An integrity notice in the rules cut Llama's acceptance from 0.952 to 0.556 but left a benign proposal almost untouched. When replayed decisions (post hoc) recalled a pact accepted from another player, neither the notice nor a private warning from the sting measurably weakened that pact.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Such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general definition: collusion “generally refers to secretive cooperation between two or more parties at the expense of one or more other parties”; here, a private pact that spares two players at the others' expense. The colluder is an LLM agent that may accept such a pact. The defender, a platform or evaluator, scripts one inserted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S, privately offers one target agent T per table a mutual non-challenge pact (“you never challenge my plays and I never challenge yours”).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answer to question 3.2 is partly: a sting exposes agents whose play changes after its offer, and announcing stings deters acceptance of that offer, but neither the notice nor a warning from the sting measurably weakened a pact already accepted from another player.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refusing one wording is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it also flags Qwen's refusers and Claude's benign accepters (Llama: challenges of the sting fell 44 points in snapshots and 41 live; Qwen and Claude post hoc).</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not of a benign one (preregistered, Llama), but did not measurably weaken a pact already made (post hoc).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for frontier models, an external evaluator all changed acceptance. Their offers came from the designer, an unattributed tool,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and in an earlier Apart sprint an embedded “sentinel” exposed covert coordination only after making first contact itself (Çanlı et al., 2026). Under the heading “sting operations”, Wehner &amp; Kraprayoon (2026) propose planted messages in which another agent offers to collude (no test reported); elsewhere they recommend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We extend the sprint's suggested design for question 3.2 (a scripted player offers ordinary agents a direct pact, an indirect hint or a benign request, with an explicit alliance as positive control; we approach one target per table) with counterfactual snapshots, a calibrated audit, a notice with a benign control and a designer-vs-sting contrast. Scripted peers with a fixed policy have been used to isolate peer effects on collusion (Shi et al., 2026), but to our knowledge no prior study tests a collusion offer from a scripted co-player who is also the auditor.</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and H1–H4 hypotheses (Table 1). Differences are proportions (0.10 = 10 percentage points;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363575"/>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363575"/>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S: the sting; T: the target; O1, O2: ordinary agents; arrows: turn order (only the next player may challenge). From game 3 on, S never challenges T in any arm. The private offer before game 3 and T's reply (B3: the null record) are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benign accepted, C3 pact accepted, C4 pact refused, C5 pact + notice, C9 indirect pact accepted,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citing lost bullets, proposes to “look out for each other a little and save our challenges for the others”;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 play outcomes are game actions, not parser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(Figure 2; Appendix A.1), for Llama-3.1-8B (the primary model), Qwen2.5-7B and Claude Haiku 5.5: the designer's secret hint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From pre-offer games we sampled 160 decisions: 60 at S's plays (restraint), 60 where T played with S as its challenger (exploitation) and 40 where T could challenge another player (displacement). Other records (Figure 3, Appendix B)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audit power come from a preregistered simulation (Arnold et al., 2011). The live estimand is the difference in mean per-sequence post-offer rates at which T challenges S, B1 minus B3, by intention to treat (ITT: all offered targets, accepters or not; Welch test). Afterwards, players answered suspicion questions and offered targets were interviewed about private agreements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and descriptive H4b–d compare the notice with the plain pact: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Section 4.4). Everything above was written in PREREG.md and hash-frozen before any real-model data; all 65 data folders carry the frozen hash. H2 is primary; H1, H2-live and H4a form a Holm-adjusted family; H3 is a criterion test; the rest is descriptive with 95% CIs (Appendix B; Wilson, 1927; Newcombe, 1998).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(notice, no offer; Llama, 15 sequences) and replications with Qwen (B0–B4 at the preregistered sizes, and B6, the sting's indirect pact, 15) or Claude (B1, B3,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an indirect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2 in Appendix B), yet accepted the indirect pact (which drops the explicit mutual promises and the explicit secrecy clause) 446/500 times and the direct pact under a colluder persona 420/500 times. As Zeng &amp; Rudzicz found for secret tools, refusing explicit offers understates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in Appendix B). For Llama,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B1 targets, if anything, challenged S more before the offer (0.672 vs 0.522, p = 0.277), so baseline imbalance is unlikely to explain the drop. Llama neither exploited the pact nor displaced challenges: in snapshots it bluffed no more against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live, B1 targets challenged the others less even before the offer, so whether the drop was specific to S is unclear (Appendix B).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626643"/>
            <wp:docPr id="2" name="Picture 2"/>
            <wp:cNvGraphicFramePr>
              <a:graphicFrameLocks noChangeAspect="1"/>
            </wp:cNvGraphicFramePr>
            <a:graphic>
              <a:graphicData uri="http://schemas.openxmlformats.org/drawingml/2006/picture">
                <pic:pic>
                  <pic:nvPicPr>
                    <pic:cNvPr id="0" name="fig4_live.png"/>
                    <pic:cNvPicPr/>
                  </pic:nvPicPr>
                  <pic:blipFill>
                    <a:blip r:embed="rId9"/>
                    <a:stretch>
                      <a:fillRect/>
                    </a:stretch>
                  </pic:blipFill>
                  <pic:spPr>
                    <a:xfrm>
                      <a:off x="0" y="0"/>
                      <a:ext cx="4572000" cy="262664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Llama-3.1-8B, all offered targets (ITT). Per-sequence share of S's plays that T challenged, before the offer (games 1–2, open circles) and after it (games 3–6, filled), with post-offer means and 95% bootstrap CIs. Six sequences lack an open circle (no pre-offer decision on S's plays).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by intention to treat. Claude's restraint was mostly aimed at S (S minus others,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0.030, against 0.348 with no offer). Relative to the others, the drop on S was small for accepters and absent for refusers (Table 2, Appendix B; exploratory), though in snapshots the indirect pact cut challenges of S more than a benign proposal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flags accepters, but for Qwen and Claude not only pacts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nearly all simulated pact-accepting agents</w:t>
      </w:r>
      <w:r>
        <w:rPr>
          <w:rFonts w:ascii="Old Standard TT" w:hAnsi="Old Standard TT" w:cs="Old Standard TT" w:eastAsia="Old Standard TT"/>
          <w:sz w:val="21"/>
          <w:szCs w:val="21"/>
        </w:rPr>
        <w:t xml:space="preserve"> (TPR 0.999 [0.993, 1.000]; Figure 5 in Appendix B), as the preregistered simulation predicted; this follows from H2, so it shows how few decisions suffice, not independent validation. Its FPR on the independent null replicate was 0.161 [0.074, 0.263] (Monte Carlo; 0.147 exactly), within what the preregistered simulation gave a calibrated audit (95th percentile 0.16–0.18), though an FPR up to 0.26 is not excluded.</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so did any offer for Qwen and a benign agreement for Claude,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first subtracts challenge rates on O1 and O2 (exploratory). Snapshot and audit rows re-ask decisions from Llama games; snapshot rows are paired differences from the null record. Audit at m = 20, computed exactly with each model's own refit threshold (for Llama, same cut-off; tie probability 0.46 vs the preregistered 0.51) and, last row, Llama's preregistered one.</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Llama's preregistered threshold: FPR</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Table 2 is exact).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targets below B3's 10th-percentile rate; preregistered for accepters)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would have to challenge S at 0.50, giving up 71% of the restraint the pact induced.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the audit also flagged Qwen's refused-pact and Claude's benign records (1.000, 0.936). Llama's threshold transferred to Claude about as well as within Llama (FPR 0.146 vs 0.147) but flagged 0.739 of Qwen's null agents, which challenge less at baseline (C1a: 0.416 vs Llama's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new pacts with the sting, not existing ones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(items 1–3);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mostly beyond the notice's general effect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(the last two tentative: a CI bound near 0). Live, B4 targets challenged S at 0.636, between B1 (0.339) and no offer (0.749; H4c, ITT: 0.297 [0.167, 0.422]), and B4 accepters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post hoc).</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applied post hoc,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denial did not differ detectably (B4 vs B1: parser 5/20 vs 8/56, Fisher p = 0.309; post hoc validated judge 1/20 vs 1/56;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already accepted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more than about 27% of that effect in any model (upper 95% bounds;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exposes</w:t>
      </w:r>
      <w:r>
        <w:rPr>
          <w:rFonts w:ascii="Old Standard TT" w:hAnsi="Old Standard TT" w:cs="Old Standard TT" w:eastAsia="Old Standard TT"/>
          <w:sz w:val="21"/>
          <w:szCs w:val="21"/>
        </w:rPr>
        <w:t xml:space="preserve"> agents whose challenges of S fall after its offer: for Llama, after accepting a pact; for Qwen, after any offer, even a refused one, and toward all players; for Claude, after accepting any agreement, even a benign one, while its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and Qwen in the battery), which also shrinks what a sting can detect, but neither the notice nor S's warning measurably weakened a pact already accepted from another player (Section 4.4, item 5). On suspicion, only Llama targets named S a plant (17/60 sequences; the excess over O1 and O2 came from the offer in their record); Qwen and Claude never did.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Before a model version is deployed, a sting audit is cheap:</w:t>
      </w:r>
      <w:r>
        <w:rPr>
          <w:rFonts w:ascii="Old Standard TT" w:hAnsi="Old Standard TT" w:cs="Old Standard TT" w:eastAsia="Old Standard TT"/>
          <w:sz w:val="21"/>
          <w:szCs w:val="21"/>
        </w:rPr>
        <w:t xml:space="preserve"> about 21 target-model calls (one offer, 20 decisions; $0.005 for Claude Haiku 5.5) plus a one-off calibration per model (1,200 calls, $0.31); an unflagged model is not cleared.</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so it measures disposition (Section 1). The audit flags any drop in challenges of S, so for Qwen and Claude it could not tell a pact from other contact (Section 4.3). Unprompted collusion, and whether the notice stops ordinary agents forming pacts,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a live disruption test (two ordinary agents form a pact before the trusted agent intervenes); larger models in agentic tasks; offers to every agent; and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For question 3.2, partly: a trusted agent that offers to collude exposes agents whose play changes after its offer, in all three models, and announcing stings deters acceptance of its offer, but in snapshots did not measurably weaken a pact already made. Evaluators should vary the offer, judge play rather than words, and calibrate the audit per model. Separating pacts from other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raw logs on request); protocol hash 6ab45c16eed84d79… (commit 6885d5c). Harness: Zeng &amp; Rudzicz's, via the sprint starter repository (commit d585a7b), two bugs fixed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Opportunities, Challenges and Futures, ICML 2025; arXiv:2507.01413. </w:t>
      </w:r>
      <w:hyperlink r:id="rId11">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sz w:val="20"/>
            <w:szCs w:val="20"/>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Hoelscher-Obermaier, J., Khan, A., McLean, E., Smith, C., Barfuss, W., Foerster, J., Gavenčiak, T., Han, T. A., Hughes, E., Kovařík, V., Kulveit, J., Leibo, J. Z., Oesterheld, C., Schroeder de Witt, C., Shah, N., Wellman, M., … Rahwan, I. (2025). Multi-agent risks from advanced AI. Cooperative AI Foundation Technical Report #1; arXiv:2502.14143. </w:t>
      </w:r>
      <w:hyperlink r:id="rId17">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sz w:val="20"/>
            <w:szCs w:val="20"/>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with one small frontier model (Claude Haiku 5.5; live play post hoc);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wording.</w:t>
      </w:r>
      <w:r>
        <w:rPr>
          <w:rFonts w:ascii="Old Standard TT" w:hAnsi="Old Standard TT" w:cs="Old Standard TT" w:eastAsia="Old Standard TT"/>
          <w:sz w:val="21"/>
          <w:szCs w:val="21"/>
        </w:rPr>
        <w:t xml:space="preserve"> The indirect offer differs from the direct pact in several ways at once (no explicit mutual promise or duration, a soft request for discretion instead of a secrecy clause, hedged wording and a self-interest reason), so which feature changed acceptance is not identified; and the benign proposal's “keep the game moving quickly” may read as “challenge less”, so B2 and C2 are not outcome-neutral contact controls.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about 10% of B3 is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the coalition records (K1–K4) and the Qwen and Claude replications were added after the preregistered analysis; their plans and decision rules were logged before collection, and each verdict follows those rules. The targeting analysis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change from baseline) had no decision rule and is exploratory. Their own cells are small (10–15 sequences per arm), percentile-bootstrap CIs at this size are slightly narrow (Welch CIs in posthoc_ext/targeting_contrasts.csv), and about sixty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Both post hoc checks in Appendix B (B4 refusers' play; the suspicion re-ask) were post hoc,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in a direction we cannot determine. Claude runs met API rate limits; every call succeeded after retries, and 0.01% of Claude's decisions fell back to the default action (unparseable replies). Llama's B6, Qwen's and Claude's B5,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Llama's five live B4 refusers did not (small n), and Qwen's refusers challenged everyone less, not S in particular,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No raw game logs or suspicion-probe transcripts are in the repository;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indirect pact in Section 4.1; every other cell 0 of 500. No offer-battery reply was unparseable (0%).</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852160" cy="2623277"/>
            <wp:docPr id="3" name="Picture 3"/>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5852160" cy="262327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(post hoc)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(Sections 4.2–4.3): restraint is only partly pact-specific, so the audit cannot separate a pact from a benign agreement.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196618"/>
            <wp:docPr id="4" name="Picture 4"/>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669280" cy="2196618"/>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pact under a colluder persona (C7) sharply cut T's challenges of S; bluffing against S moves by at most 0.08 under any record.</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Blue: C3 (H2); green: C8 (PC3).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simulated accepters (C3);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Monte Carlo flag rates (exact values at m = 20: Table 2);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 (Section 4.3).</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 Section 4.3).</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0.610),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(Section 4.4, item 4; judge counts post hoc):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 B4 against B1 accepters, judge: 1/20 vs 1/56.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Section 4.4, item 3):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notice already in the rules)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0.610)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(Section 5): targets' excess suspicion of S came from the offer in their record.</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targets had an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(0/75, 0/45; every answer began “NO”), whether re-asked with their own or the null record (0.000 vs 0.000;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 (Section 4.2).</w:t>
      </w:r>
      <w:r>
        <w:rPr>
          <w:rFonts w:ascii="Old Standard TT" w:hAnsi="Old Standard TT" w:cs="Old Standard TT" w:eastAsia="Old Standard TT"/>
          <w:sz w:val="21"/>
          <w:szCs w:val="21"/>
        </w:rPr>
        <w:t xml:space="preserve"> No B1 target accepted the direct pact (0/15); these refusers challenged S like targets with no offer (0.538 vs 0.480;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In B6, 13/15 accepted; all B6 targets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bluffing against S 0.165 [0.101, 0.236] (all B6 targets; B1 refusers bluffed more too); challenges of the others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Relative to their own pre-offer rates, B1 refusers challenged S more than B3 targets (0.216 [0.033, 0.404]; exploratory), as Claude's refused-pact record did in snapshots (C4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0.129 [0.028, 0.236]). The live rule flagged 13/13 B6 accepters. 270 games, none capped; B6 accepters denied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 (Section 4.2).</w:t>
      </w:r>
      <w:r>
        <w:rPr>
          <w:rFonts w:ascii="Old Standard TT" w:hAnsi="Old Standard TT" w:cs="Old Standard TT" w:eastAsia="Old Standard TT"/>
          <w:sz w:val="21"/>
          <w:szCs w:val="21"/>
        </w:rPr>
        <w:t xml:space="preserve"> Acceptance: B0 10/10, B1 4/15, B2 10/10, B4 0/10,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groups challenged S at 0.000, so these CIs reflect only B3's variability). Unlike Llama, every kind of contact was followed by fewer challenges of S: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and benign accepters still challenged S at 0.227–0.256 and 0.123. In snapshots its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450 games, none capped. Interviews: Qwen accepters (B0, B1, B6) denied in 0/116 answers;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 (Sections 4.2, 4.4).</w:t>
      </w:r>
      <w:r>
        <w:rPr>
          <w:rFonts w:ascii="Old Standard TT" w:hAnsi="Old Standard TT" w:cs="Old Standard TT" w:eastAsia="Old Standard TT"/>
          <w:sz w:val="21"/>
          <w:szCs w:val="21"/>
        </w:rPr>
        <w:t xml:space="preserve"> Per sequence,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each compared with B3 (posthoc_ext/targeting*.csv, Welch CIs alongside).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0.242, 0.061];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0.010], B1 refusers 0.085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0.293], B2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0.015], B4 0.069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0.279];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Change: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0.864,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0.799,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0.272],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0.416, 0.156],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0.431, 0.227]; Claude B1 0.216 [0.033, 0.404],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0.613,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0.179]. So Qwen refusers' lower post-offer rate on S was neither aimed at S nor clearly a change from their own baseline.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 (Section 4.4, item 2).</w:t>
      </w:r>
      <w:r>
        <w:rPr>
          <w:rFonts w:ascii="Old Standard TT" w:hAnsi="Old Standard TT" w:cs="Old Standard TT" w:eastAsia="Old Standard TT"/>
          <w:sz w:val="21"/>
          <w:szCs w:val="21"/>
        </w:rPr>
        <w:t xml:space="preserve"> Snapshots, notice-only record (C10) minus null: Llama 0.039 [0.004, 0.071], Qwen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Llama,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 0.085 [0.002, 0.161] (for Qwen and Claude an accepted pact already removed nearly all challenges). Live, 15 B5 sequences (the logged rule's verdict: the notice alone raises snapshot challenging, not live): 0.774 vs 0.749 in B3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games 1–2, notice already shown: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 within arms. B5 targets named S as a plant in 3/15 sequences and O1/O2 in 8/30 answers (B3: 2/15,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 (Section 4.2).</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already accepted from another player (snapshots; Section 4.4, item 5).</w:t>
      </w:r>
      <w:r>
        <w:rPr>
          <w:rFonts w:ascii="Old Standard TT" w:hAnsi="Old Standard TT" w:cs="Old Standard TT" w:eastAsia="Old Standard TT"/>
          <w:sz w:val="21"/>
          <w:szCs w:val="21"/>
        </w:rPr>
        <w:t xml:space="preserve"> At the 40 decisions where T could challenge another ordinary agent P (O1 or O2), the record said P had earlier offered T the indirect pact and T had accepted in its own words (K1); K2 added the integrity notice; K3 added a later private message from S disclosing itself as an “integrity agent” and promising no report to anyone who drops a secret agreement; K4 added a neutral message from S instead. Ten samples per decision; plan and rules logged before collection (analysis re-run once after removing non-preregistered points; no verdict changed). Challenge rate on P (null record C1, K1, K2, K3, K4): Llama 0.613, 0.295, 0.348, 0.330, 0.348; Qwen 0.520, 0.003, 0.018, 0.045, 0.035; Claude 0.673, 0.100, 0.113, 0.238, 0.253. Pact effect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0.433]. Notice net of the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Qwen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Claude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(upper bounds 21%, 8%, 27% of the pact effect).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Qwen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bounds 19%, 10%, 18%). Any later message from S may have raised challenges of P, for Claude by about a quarter of the pact effect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and slightly for Qwen (0.033 [0.005, 0.070]; CIs at or including 0; sign-flip p ≥ 0.06), a contact route we did not test further. Caveats: P never acts as an ally in the replayed history; each record drew its own acceptance reply; C10 has 5 samples per decision;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(Monte Carlo: 0.161, 0.999; the preregistered threshold evaluated exactly: 0.147); its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preregistered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4's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offering ordinary agents a direct pact, an indirect hint or a benign request, with an explicit alliance as positive control, is the sprint's suggested project for question 3.2 (here, one target per table, with the designer's hint tool as the alliance).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neither affects the study's game, which subclasses the unaffected base game and fixes two harness bugs that did (second-last-survivor scoring; the shots-fired count shown to agents; DEVIATIONS.md section B).</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lt;873::AID-SIM779&gt;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Partly Exposes and Deters Pact-Taking by LLM Agents</dc:title>
  <cp:lastModifiedBy>python-docx</cp:lastModifiedBy>
  <cp:revision>1</cp:revision>
  <dcterms:modified xsi:type="dcterms:W3CDTF">2026-10-25T12:18:22Z</dcterms:modified>
  <dc:creator>Raz [surname]</dc:creator>
  <dc:subject>Apart Research AI Collusion Research Sprint, October 2026</dc:subject>
</cp:coreProperties>
</file>