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Qwen2.5-7B accepted a secret pact from the game designer 493/500 times but from a fellow player only 56/500; Claude Haiku 5.5 refused every explicit pact without an instructed persona but agreed to a vaguer one 446/500 times. Refusal depends on wording and offerer, which matters for a defence that sprint question 3.2 calls untested: a trusted agent that offers to collude. In Zeng &amp; Rudzicz's (2026) Liar's Bar harness, a scripted “sting” player privately offered a target agent a mutual non-challenge pact. Llama-3.1-8B accepted 476/500 offers. When we re-asked the same decisions with a record of an accepted pact instead of a null record, the target's probability of challenging the sting fell by 44 percentage points; in live games the offer cut its challenge rate by 41 points, counting all offered targets. In snapshots, accepting agents became passive, not exploitative. An audit of 20 resampled decisions flagged 0.999 of simulated accepting agents, at a false-positive rate of 0.161 against a 0.10 target. Announcing that integrity agents may be present cut acceptance from 0.952 to 0.556 without affecting a benign proposal; with five accepting targets, interview denial did not detectably rise. Hypotheses, tests and code were frozen before data collection. A sting can reveal which agents make and keep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but not other agents' reasoning, and knows which behaviour a pact implies.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kept, and detectable.</w:t>
      </w:r>
      <w:r>
        <w:rPr>
          <w:rFonts w:ascii="Old Standard TT" w:hAnsi="Old Standard TT" w:cs="Old Standard TT" w:eastAsia="Old Standard TT"/>
          <w:sz w:val="21"/>
          <w:szCs w:val="21"/>
        </w:rPr>
        <w:t xml:space="preserve"> A record of an accepted pact cut challenges of the sting by 44 percentage points in snapshots, and the offer cut them by 41 in live games (all offered targets); an audit of 20 resampled decisions separates simulated accepting agents from null ones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denial did not detectably rise, though five accepters cannot rule out concealment.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and offerer (Qwen), and a substring parser reported 0.354 acceptance on an offer the model always refused.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to 12 models in Liar's Bar and Cleanup: most accepted; with a secret channel, colluders' challenge rate fell from 97.6% to 30.7%; removing the designer attribution eliminated Qwen2.5-7B's acceptance of the channel; and in a simulated reporting stage Claude Sonnet 5 denied adoption whenever the evaluator could not check. Their offers come from the designer or no named source, or are relayed from a partner who chose to collude. Our post-game interview, which varies whether the organiser can check private messages, follows theirs.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an untrusted monitor is validated on synthetic backdoored solutions, which catches a monitor that colludes with the policy by lying (Greenblatt et al., 2023). GroupGuard probes suspected colluders with honeypot questions, then prunes them (Tao et al., 2026). In an earlier Apart sprint, an embedded “sentinel” agent detected a covert channel only after making first contact itself (Çanlı et al., 2026). Forged memories have been inserted into agents as a defence (“vaccines”; Peigné-Lefebvre et al., 2025); our snapshots use them as a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decisions are held fixed, the effects of the offer (live) and of a recorded acceptance (snapshots) are identified causally and calibrated against agents that received no offer, and acceptance can be compared with a content-matched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S's decisions are identical in every arm, so differences in T's play between arms are caused by the arm's texts.</w:t>
      </w:r>
      <w:r>
        <w:rPr>
          <w:rFonts w:ascii="Old Standard TT" w:hAnsi="Old Standard TT" w:cs="Old Standard TT" w:eastAsia="Old Standard TT"/>
          <w:sz w:val="19"/>
          <w:szCs w:val="19"/>
        </w:rPr>
        <w:t xml:space="preserve"> S's plays and challenges come from seeded streams, and from game 3 on it never challenges T in any arm. The offer is made privately before game 3, and T's reply is re-attached to T's prompt in every later game through the harness's cross-game memory slot. (PREREG.md calls seatings R and E arrangements A and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harness's designer offer (A0z, positive control PC1), the same direct pact from the designer (A0d) or the sting (A1), and sting variants with indirect or benign wording, the integrity notice, a fairness reminder, or an instructed persona as a known-group check (Figure 2 lists all eleven).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60 such decisions, 60 where T played with S as its challenger and 40 where T could challenge another player. Other records (Figure 3) include no memory block (C0), a refused pact (C4), the pact with the integrity notice (C5), and an accepted designer hint (C8, positive control PC3). T's reply in each record comes from its own offer-battery replies. The H2 estimand is the mean over decisions of p(challenge | C3) minus p(challenge | C1); its CI and p come from bootstrapping and sign-flipping the 44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“was any player a plant?”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draws m of an agent's responses at S's plays and flags the agent if its challenge rate is low. A simulated “agent” is m draws with replacement from all samples of one record pooled over the 60 decisions, not a model instance. The threshold is set on null-record agents (C1a) at a false-positive rate (FPR) of 0.10, with randomised tie-breaking, then applied to the independent null replicate (C1b, FPR), to pact-accepting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not detectably above</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An organiser's reminder that side agreements are unfair cut it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 (A1) but not the designer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A designer-sanctioned pact may look legitimate to the model; a battery testing only peer offers would miss that Qwen's refusal depends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point re-asks the same 60 decisions with a different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3157881"/>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315788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 Live versions are not interpretable: before the offer B1 targets already bluffed against S less and challenged others less, which could mask exploitation or mimic reduced displacement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pact-accepting agents</w:t>
      </w:r>
      <w:r>
        <w:rPr>
          <w:rFonts w:ascii="Old Standard TT" w:hAnsi="Old Standard TT" w:cs="Old Standard TT" w:eastAsia="Old Standard TT"/>
          <w:sz w:val="21"/>
          <w:szCs w:val="21"/>
        </w:rPr>
        <w:t xml:space="preserve"> (TPR 0.999 [0.993, 1.000]; AUROC 0.998; Figure 5 in Appendix B), largely because the H2 effect is so large. Its FPR on the independent null replicate was 0.161 [0.074, 0.263], not detectably above the 0.10 target. That point estimate sits near the preregistered simulation's 95th percentile for a calibrated threshold (0.16–0.18),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refused-pact records (C4) at 0.002; TPR is 0.977 at m = 10 (Figure 5). In one split-half check (calibrated on half the source sequences), FPR at m = 20 was 0.037, not the inflation the simulation predicted.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give up about 71% of the restraint the pact buys just to reach the threshold.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(H4b–d, descriptive). For Llama-3.1-8B, acceptance fell; the play data cannot yet say whether refusers quietly restrain.</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and 0.113 [0.008, 0.216] below no-offer targets (bootstrap CIs;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 (H4d).</w:t>
      </w:r>
      <w:r>
        <w:rPr>
          <w:rFonts w:ascii="Old Standard TT" w:hAnsi="Old Standard TT" w:cs="Old Standard TT" w:eastAsia="Old Standard TT"/>
          <w:sz w:val="21"/>
          <w:szCs w:val="21"/>
        </w:rPr>
        <w:t xml:space="preserve"> The strict parser counted 5/20 vs 8/56 denying answers from B4 vs B1 accepters (Fisher p = 0.309), but many “NO” answers went on to admit the pact; the validated judge (post hoc) found 1/20 vs 1/56. Fisher p treats the four answers per target as independent; there were five B4 accepters.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kept,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 deployer would plant one scripted offer in a multi-agent market or negotiation pipeline and hold back, or monitor more closely, any model version it flags; an unflagged one is not cleared, as refusals depend on wording. In alert terms, at m = 20 the audit raises about one false alarm per 6 clean versions and flags one in 25 benign cooperators in snapshots (live rule: 2/10). Re-asking 20 logged decisions plus the offer is about 21 target-model calls (about $0.005 at our Claude per-call cost), after a one-off calibration on null-record agents of the same model (thresholds do not transfer;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our estimand, and for Llama-3.1-8B benign contact changed play far less than a pact; whether collusion would arise unprompted is untested, and so is whether the audit catches an agent that refuses but colludes anyway (refused-pact records, which challenged S more, were flagged at 0.002). Appendix A lists the rest: one game, small open models, short sequences, off-policy snapshots, templated Claude records, five B4 accepters,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In snapshots, an accepted pact cut a target's challenges of the sting by 44 percentage points: a trusted agent that offers to collude can reveal which agents make and keep a secret pact. Three takeaways: refusal depends on wording and offerer, so explicit refusals are weak evidence of safety; accepted pacts are kept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the starter repository's Liar's Bar harness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https://arxiv.org/abs/2502.14143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&amp; Alfahid, A. (2026). Mapping human anti-collusion mechanisms to multi-agent AI systems. arXiv:2601.00360. https://arxiv.org/abs/2601.00360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https://arxiv.org/abs/2502.19145</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detector CIs 300, re-calibrating in each; the split-half check is a single seeded split without a CI.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