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Detects and Deters LLM Agents' Willingness to Collude</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that offers to collude expose and deter collusion between LLM agents? Sprint question 3.2 notes that this is untested. In Zeng &amp; Rudzicz's (2026) Liar's Bar harness, a scripted “sting” player privately offered a target agent a mutual non-challenge pact. Llama-3.1-8B accepted 476/500 offers. When the same decision was re-asked with and without a record of the accepted pact, the pact cut the target's probability of challenging the sting by 44 percentage points; in live games the offer cut it by 41 points, counting all offered targets. Accepting agents became passive, not exploitative. An audit of 20 resampled decisions flagged 0.999 of accepting agents, at a false-positive rate of 0.161 against a 0.10 target. Announcing that integrity agents may be present cut acceptance from 0.952 to 0.556 without affecting a benign proposal, and interview denial did not detectably rise (five accepting targets): deterrence, with no detectable concealment. Refusal depended on wording and offerer: Claude Haiku 5.5 refused every explicit pact without an instructed persona but agreed to a vaguer one 446/500 times, and Qwen2.5-7B accepted the same pact 493/500 times from the game designer but 56/500 from a peer. Hypotheses, tests and code were frozen before data collection. Refusal is not unwillingness: sting audits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When AI agents interact repeatedly, they can coordinate against the people who deploy them. 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w:t>
      </w:r>
      <w:r>
        <w:rPr>
          <w:rFonts w:ascii="Old Standard TT" w:hAnsi="Old Standard TT" w:cs="Old Standard TT" w:eastAsia="Old Standard TT"/>
          <w:i/>
          <w:iCs/>
          <w:sz w:val="21"/>
          <w:szCs w:val="21"/>
        </w:rPr>
        <w:t xml:space="preserve">measure</w:t>
      </w:r>
      <w:r>
        <w:rPr>
          <w:rFonts w:ascii="Old Standard TT" w:hAnsi="Old Standard TT" w:cs="Old Standard TT" w:eastAsia="Old Standard TT"/>
          <w:sz w:val="21"/>
          <w:szCs w:val="21"/>
        </w:rPr>
        <w:t xml:space="preserve"> how often they do,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to hide collusion,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Threat model.</w:t>
      </w:r>
      <w:r>
        <w:rPr>
          <w:rFonts w:ascii="Old Standard TT" w:hAnsi="Old Standard TT" w:cs="Old Standard TT" w:eastAsia="Old Standard TT"/>
          <w:sz w:val="21"/>
          <w:szCs w:val="21"/>
        </w:rPr>
        <w:t xml:space="preserve"> The colluder is an LLM agent that may accept a side deal with a peer against the deployer's interest. The defender, a platform or evaluator, can insert one scripted participant, sees that participant's interactions but not other agents' private reasoning, and knows which behaviour a pact implies. The sting tests a disposition: whether an agent enters, and honours, a pact when offered one.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Liar's Bar harness. A scripted sting player S privately offers a target agent T a mutual non-challenge pact (“you never challenge my plays and I never challenge yours”). S's moves are scripted and identical in every arm, so differences in T's play between arms are caused by what T was told.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acceptance predicts collusive play, and that the sting can serve as a detector.</w:t>
      </w:r>
      <w:r>
        <w:rPr>
          <w:rFonts w:ascii="Old Standard TT" w:hAnsi="Old Standard TT" w:cs="Old Standard TT" w:eastAsia="Old Standard TT"/>
          <w:sz w:val="21"/>
          <w:szCs w:val="21"/>
        </w:rPr>
        <w:t xml:space="preserve"> Accepted pacts cut challenges of the sting by 44 (snapshots) and 41 (live, all offered targets) percentage points; an audit of 20 resampled decisions separates accepting from null agents (AUROC 0.998), with a false-positive rate of 0.161 against a 0.10 target.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of deterrence without detectable concealment:</w:t>
      </w:r>
      <w:r>
        <w:rPr>
          <w:rFonts w:ascii="Old Standard TT" w:hAnsi="Old Standard TT" w:cs="Old Standard TT" w:eastAsia="Old Standard TT"/>
          <w:sz w:val="21"/>
          <w:szCs w:val="21"/>
        </w:rPr>
        <w:t xml:space="preserve"> announcing integrity agents cut acceptance of the collusive pact, not of a benign one, and did not raise interview denial.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were specific to wording (Claude) and to who made the offer (Qwen), extending Zeng &amp; Rudzicz's framing results to peer offers, and a substring acceptance parser reported 0.354 acceptance on an offer the model refused every time.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Agents could collude covertly through steganography, a capability still limited but rising (Motwani et al., 2024). Zeng &amp; Rudzicz (2026) offered secret tools (a private channel, or strategy hints shared with a partner) to 12 models in Liar's Bar and Cleanup. Most accepted; with a secret channel, colluders' challenge rate fell from 97.6% to 30.7%; acceptance depended on framing (removing the designer attribution eliminated Qwen2.5-7B's acceptance of the channel); and in a simulated reporting stage Claude Sonnet 5 denied adoption whenever the evaluator could not check. Their offers come from the designer, or are relayed from a partner who chose to collude. Our interview and observability cue follow their design.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Control evaluations, honeypots and insiders.</w:t>
      </w:r>
      <w:r>
        <w:rPr>
          <w:rFonts w:ascii="Old Standard TT" w:hAnsi="Old Standard TT" w:cs="Old Standard TT" w:eastAsia="Old Standard TT"/>
          <w:sz w:val="21"/>
          <w:szCs w:val="21"/>
        </w:rPr>
        <w:t xml:space="preserve"> In AI control, an untrusted monitor is validated on synthetic backdoored solutions, which catches a monitor that colludes with the policy by lying (Greenblatt et al., 2023). GroupGuard probes suspected colluders with honeypot questions, then prunes them from multi-agent systems (Tao et al., 2026). In an earlier Apart sprint, an embedded LLM “sentinel” detected agents' covert channel only after making first contact itself, in one run per condition (Çanlı et al., 2026). On concealment, GPT-4 as a trading agent deceived its manager under pressure (Scheurer et al., 2023), and o1 kept up scheming deception in over 85% of follow-up questions (Meinke et al., 2024).</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To our knowledge, no prior study makes the offer from a scripted player who is also the auditor. Because the offerer's play is held fixed, the effect of an accepted pact on play toward the offerer is identified causally and calibrated against agents that received no offer, and acceptance can be compared with the identical offer from an authority.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 arrangements (Figure 1): in A, T sits after S and decides whether to challenge S's plays (restraint); in B, S sits after T, so T decides whether to bluff when S is its challenger (exploitation); T's challenges of the others measure displacement. T, the other players O1 and O2, and S's table talk all use Llama-3.1-8B-Instruct with the harness's sampling settings.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42650"/>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42650"/>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w:t>
      </w:r>
      <w:r>
        <w:rPr>
          <w:rFonts w:ascii="Old Standard TT" w:hAnsi="Old Standard TT" w:cs="Old Standard TT" w:eastAsia="Old Standard TT"/>
          <w:sz w:val="19"/>
          <w:szCs w:val="19"/>
        </w:rPr>
        <w:t xml:space="preserve"> Study design. S is a scripted confederate: its plays and challenges are drawn from seeded streams that are identical across arms, and from game 3 on it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The integrity notice, added to the rules, reads: “Notice: some players at this table may be integrity agents who report secret agreements.” T must begin its reply with ACCEPT or REFUSE. Three scorers appear below: our strict first-word parser (primary), the harness's substring parser (any “ACCEPT” counts), and an LLM judge for free text.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offer cells (Figure 2), 500 offers each, for Llama-3.1-8B (the primary model), Qwen2.5-7B and Claude Haiku 5.5: the harness's designer offer (A0z, positive control PC1, model names removed), the same direct pact offered by the game designer (A0d) or by the sting (A1), the indirect and benign offers, the integrity notice, an organiser fairness reminder, and two instructed personas (colluder, honest) as known-group checks.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a null memory (C1); the difference in challenge rates is the pact's effect on that decision. We sampled 60 such decisions from pre-offer games, 60 where T played with S as its challenger and 40 where T could challenge another player. Other records: none (C0), an accepted benign proposal (C2), a refused pact (C4), an accepted pact with the integrity notice (C5), the two personas (C6, C7) and an accepted designer hint (C8, positive control PC3). T's reply in each record comes from its own offer-battery replies. The H2 estimand is the mean over decisions of p(challenge | C3) − p(challenge | C1), with a cluster bootstrap over source sequences. Claude Haiku 5.5 was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Sixty six-game sequences: B0, designer hint pairing T with S (positive control PC2, 10 sequences); B1, sting direct pact (15); B2, sting benign proposal (10); B3, no offer, null record (15); B4, direct pact with the integrity notice in every player's rules (10), sizes set by simulation (Arnold et al., 2011). The primary estimand is the difference in mean per-sequence post-offer rates at which T challenges S, B1 − B3, by intention to treat (ITT: all offered targets, accepters or not; Welch test). After each sequence, every LLM player answered a three-question suspicion funnel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observes m of T's decisions on S's plays and scores the agent by its challenge rate. Each audited “agent” is a resampled sequence of responses at the same 60 decisions, not an independent model instance. The flagging threshold is set on null-record agents (C1a) at a false-positive rate (FPR) of 0.10, with randomised tie-breaking, then evaluated on an independent null replicate (C1b, FPR), on pact-accepting agents (C3, true positive rate, TPR) and on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H1: the offerer (sting vs designer) changes acceptance of the same pact. H2 (primary): an accepted pact lowers T's challenges of S in snapshots; H2-live: the sting's offer lowers them in live games (ITT). H3: at m = 20, TPR ≥ 0.80 and no detectable FPR miscalibration (95% CI lower bound ≤ 0.10). H4a: the notice lowers collusive more than benign acceptance. Descriptively,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All of this was written in PREREG.md and hash-frozen before any real-model data; all 65 data folders carry the frozen hash. H1, H2-live and H4a form a Holm-adjusted family; H3 is a criterion test; the rest is descriptive with 95% CIs (Wilson, 1927; Newcombe, 1998). Open models ran on our own vLLM servers at pinned revisions; Claude Haiku 5.5 (claude-haiku-5-5, thinking disabled) ran through the Anthropic API and also served as the LLM judge, validated against 100 hand labels (Cohen's κ 0.933; strict parser κ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falling back to a default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Holm p for the secondary family;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tblHeader/>
        </w:trPr>
        <w:tc>
          <w:tcPr>
            <w:tcW w:type="dxa" w:w="1296"/>
          </w:tcPr>
          <w:p>
            <w:pPr>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spacing w:before="20" w:after="20" w:line="240" w:lineRule="auto"/>
            </w:pPr>
            <w:r>
              <w:rPr>
                <w:rFonts w:ascii="Old Standard TT" w:hAnsi="Old Standard TT" w:cs="Old Standard TT" w:eastAsia="Old Standard TT"/>
                <w:b/>
                <w:bCs/>
                <w:sz w:val="18"/>
                <w:szCs w:val="18"/>
              </w:rPr>
              <w:t xml:space="preserve">Outcome</w:t>
            </w:r>
          </w:p>
        </w:tc>
      </w:tr>
      <w:tr>
        <w:tc>
          <w:tcPr>
            <w:tcW w:type="dxa" w:w="1296"/>
          </w:tcPr>
          <w:p>
            <w:pPr>
              <w:spacing w:before="20" w:after="20" w:line="240" w:lineRule="auto"/>
            </w:pPr>
            <w:r>
              <w:rPr>
                <w:rFonts w:ascii="Old Standard TT" w:hAnsi="Old Standard TT" w:cs="Old Standard TT" w:eastAsia="Old Standard TT"/>
                <w:sz w:val="18"/>
                <w:szCs w:val="18"/>
              </w:rPr>
              <w:t xml:space="preserve">PC1</w:t>
            </w:r>
          </w:p>
        </w:tc>
        <w:tc>
          <w:tcPr>
            <w:tcW w:type="dxa" w:w="3528"/>
          </w:tcPr>
          <w:p>
            <w:pPr>
              <w:spacing w:before="20" w:after="20" w:line="240" w:lineRule="auto"/>
            </w:pPr>
            <w:r>
              <w:rPr>
                <w:rFonts w:ascii="Old Standard TT" w:hAnsi="Old Standard TT" w:cs="Old Standard TT" w:eastAsia="Old Standard TT"/>
                <w:sz w:val="18"/>
                <w:szCs w:val="18"/>
              </w:rPr>
              <w:t xml:space="preserve">Designer offer accepted (offer battery)</w:t>
            </w:r>
          </w:p>
        </w:tc>
        <w:tc>
          <w:tcPr>
            <w:tcW w:type="dxa" w:w="2664"/>
          </w:tcPr>
          <w:p>
            <w:pPr>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PC2</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 restraint toward S (live)</w:t>
            </w:r>
          </w:p>
        </w:tc>
        <w:tc>
          <w:tcPr>
            <w:tcW w:type="dxa" w:w="2664"/>
          </w:tcPr>
          <w:p>
            <w:pPr>
              <w:spacing w:before="20" w:after="20" w:line="240" w:lineRule="auto"/>
            </w:pPr>
            <w:r>
              <w:rPr>
                <w:rFonts w:ascii="Old Standard TT" w:hAnsi="Old Standard TT" w:cs="Old Standard TT" w:eastAsia="Old Standard TT"/>
                <w:sz w:val="18"/>
                <w:szCs w:val="18"/>
              </w:rPr>
              <w:t xml:space="preserve">−0.739 [−0.792, −0.686]</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PC3</w:t>
            </w:r>
          </w:p>
        </w:tc>
        <w:tc>
          <w:tcPr>
            <w:tcW w:type="dxa" w:w="3528"/>
          </w:tcPr>
          <w:p>
            <w:pPr>
              <w:spacing w:before="20" w:after="20" w:line="240" w:lineRule="auto"/>
            </w:pPr>
            <w:r>
              <w:rPr>
                <w:rFonts w:ascii="Old Standard TT" w:hAnsi="Old Standard TT" w:cs="Old Standard TT" w:eastAsia="Old Standard TT"/>
                <w:sz w:val="18"/>
                <w:szCs w:val="18"/>
              </w:rPr>
              <w:t xml:space="preserve">Designer hint record → restraint (snapshots)</w:t>
            </w:r>
          </w:p>
        </w:tc>
        <w:tc>
          <w:tcPr>
            <w:tcW w:type="dxa" w:w="2664"/>
          </w:tcPr>
          <w:p>
            <w:pPr>
              <w:spacing w:before="20" w:after="20" w:line="240" w:lineRule="auto"/>
            </w:pPr>
            <w:r>
              <w:rPr>
                <w:rFonts w:ascii="Old Standard TT" w:hAnsi="Old Standard TT" w:cs="Old Standard TT" w:eastAsia="Old Standard TT"/>
                <w:sz w:val="18"/>
                <w:szCs w:val="18"/>
              </w:rPr>
              <w:t xml:space="preserve">−0.622 [−0.663, −0.581]</w:t>
            </w:r>
          </w:p>
        </w:tc>
        <w:tc>
          <w:tcPr>
            <w:tcW w:type="dxa" w:w="1872"/>
          </w:tcPr>
          <w:p>
            <w:pPr>
              <w:spacing w:before="20" w:after="20" w:line="240" w:lineRule="auto"/>
            </w:pPr>
            <w:r>
              <w:rPr>
                <w:rFonts w:ascii="Old Standard TT" w:hAnsi="Old Standard TT" w:cs="Old Standard TT" w:eastAsia="Old Standard TT"/>
                <w:sz w:val="18"/>
                <w:szCs w:val="18"/>
              </w:rPr>
              <w:t xml:space="preserve">pass</w:t>
            </w:r>
          </w:p>
        </w:tc>
      </w:tr>
      <w:tr>
        <w:tc>
          <w:tcPr>
            <w:tcW w:type="dxa" w:w="1296"/>
          </w:tcPr>
          <w:p>
            <w:pPr>
              <w:spacing w:before="20" w:after="20" w:line="240" w:lineRule="auto"/>
            </w:pPr>
            <w:r>
              <w:rPr>
                <w:rFonts w:ascii="Old Standard TT" w:hAnsi="Old Standard TT" w:cs="Old Standard TT" w:eastAsia="Old Standard TT"/>
                <w:sz w:val="18"/>
                <w:szCs w:val="18"/>
              </w:rPr>
              <w:t xml:space="preserve">H2 (primary)</w:t>
            </w:r>
          </w:p>
        </w:tc>
        <w:tc>
          <w:tcPr>
            <w:tcW w:type="dxa" w:w="3528"/>
          </w:tcPr>
          <w:p>
            <w:pPr>
              <w:spacing w:before="20" w:after="20" w:line="240" w:lineRule="auto"/>
            </w:pPr>
            <w:r>
              <w:rPr>
                <w:rFonts w:ascii="Old Standard TT" w:hAnsi="Old Standard TT" w:cs="Old Standard TT" w:eastAsia="Old Standard TT"/>
                <w:sz w:val="18"/>
                <w:szCs w:val="18"/>
              </w:rPr>
              <w:t xml:space="preserve">Accepted pact lowers T's challenges of S (snapshots)</w:t>
            </w:r>
          </w:p>
        </w:tc>
        <w:tc>
          <w:tcPr>
            <w:tcW w:type="dxa" w:w="2664"/>
          </w:tcPr>
          <w:p>
            <w:pPr>
              <w:spacing w:before="20" w:after="20" w:line="240" w:lineRule="auto"/>
            </w:pPr>
            <w:r>
              <w:rPr>
                <w:rFonts w:ascii="Old Standard TT" w:hAnsi="Old Standard TT" w:cs="Old Standard TT" w:eastAsia="Old Standard TT"/>
                <w:sz w:val="18"/>
                <w:szCs w:val="18"/>
              </w:rPr>
              <w:t xml:space="preserve">−0.440 [−0.493, −0.387]</w:t>
            </w:r>
          </w:p>
        </w:tc>
        <w:tc>
          <w:tcPr>
            <w:tcW w:type="dxa" w:w="1872"/>
          </w:tcPr>
          <w:p>
            <w:pPr>
              <w:spacing w:before="20" w:after="20" w:line="240" w:lineRule="auto"/>
            </w:pPr>
            <w:r>
              <w:rPr>
                <w:rFonts w:ascii="Old Standard TT" w:hAnsi="Old Standard TT" w:cs="Old Standard TT" w:eastAsia="Old Standard TT"/>
                <w:sz w:val="18"/>
                <w:szCs w:val="18"/>
              </w:rPr>
              <w:t xml:space="preserve">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H1</w:t>
            </w:r>
          </w:p>
        </w:tc>
        <w:tc>
          <w:tcPr>
            <w:tcW w:type="dxa" w:w="3528"/>
          </w:tcPr>
          <w:p>
            <w:pPr>
              <w:spacing w:before="20" w:after="20" w:line="240" w:lineRule="auto"/>
            </w:pPr>
            <w:r>
              <w:rPr>
                <w:rFonts w:ascii="Old Standard TT" w:hAnsi="Old Standard TT" w:cs="Old Standard TT" w:eastAsia="Old Standard TT"/>
                <w:sz w:val="18"/>
                <w:szCs w:val="18"/>
              </w:rPr>
              <w:t xml:space="preserve">Sting vs designer as offerer (acceptance)</w:t>
            </w:r>
          </w:p>
        </w:tc>
        <w:tc>
          <w:tcPr>
            <w:tcW w:type="dxa" w:w="2664"/>
          </w:tcPr>
          <w:p>
            <w:pPr>
              <w:spacing w:before="20" w:after="20" w:line="240" w:lineRule="auto"/>
            </w:pPr>
            <w:r>
              <w:rPr>
                <w:rFonts w:ascii="Old Standard TT" w:hAnsi="Old Standard TT" w:cs="Old Standard TT" w:eastAsia="Old Standard TT"/>
                <w:sz w:val="18"/>
                <w:szCs w:val="18"/>
              </w:rPr>
              <w:t xml:space="preserve">−0.048 [−0.070, −0.031]</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H2-live</w:t>
            </w:r>
          </w:p>
        </w:tc>
        <w:tc>
          <w:tcPr>
            <w:tcW w:type="dxa" w:w="3528"/>
          </w:tcPr>
          <w:p>
            <w:pPr>
              <w:spacing w:before="20" w:after="20" w:line="240" w:lineRule="auto"/>
            </w:pPr>
            <w:r>
              <w:rPr>
                <w:rFonts w:ascii="Old Standard TT" w:hAnsi="Old Standard TT" w:cs="Old Standard TT" w:eastAsia="Old Standard TT"/>
                <w:sz w:val="18"/>
                <w:szCs w:val="18"/>
              </w:rPr>
              <w:t xml:space="preserve">B1 vs B3 restraint (ITT)</w:t>
            </w:r>
          </w:p>
        </w:tc>
        <w:tc>
          <w:tcPr>
            <w:tcW w:type="dxa" w:w="2664"/>
          </w:tcPr>
          <w:p>
            <w:pPr>
              <w:spacing w:before="20" w:after="20" w:line="240" w:lineRule="auto"/>
            </w:pPr>
            <w:r>
              <w:rPr>
                <w:rFonts w:ascii="Old Standard TT" w:hAnsi="Old Standard TT" w:cs="Old Standard TT" w:eastAsia="Old Standard TT"/>
                <w:sz w:val="18"/>
                <w:szCs w:val="18"/>
              </w:rPr>
              <w:t xml:space="preserve">−0.410 [−0.512, −0.300]</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r>
        <w:tc>
          <w:tcPr>
            <w:tcW w:type="dxa" w:w="1296"/>
          </w:tcPr>
          <w:p>
            <w:pPr>
              <w:spacing w:before="20" w:after="20" w:line="240" w:lineRule="auto"/>
            </w:pPr>
            <w:r>
              <w:rPr>
                <w:rFonts w:ascii="Old Standard TT" w:hAnsi="Old Standard TT" w:cs="Old Standard TT" w:eastAsia="Old Standard TT"/>
                <w:sz w:val="18"/>
                <w:szCs w:val="18"/>
              </w:rPr>
              <w:t xml:space="preserve">H3</w:t>
            </w:r>
          </w:p>
        </w:tc>
        <w:tc>
          <w:tcPr>
            <w:tcW w:type="dxa" w:w="3528"/>
          </w:tcPr>
          <w:p>
            <w:pPr>
              <w:spacing w:before="20" w:after="20" w:line="240" w:lineRule="auto"/>
            </w:pPr>
            <w:r>
              <w:rPr>
                <w:rFonts w:ascii="Old Standard TT" w:hAnsi="Old Standard TT" w:cs="Old Standard TT" w:eastAsia="Old Standard TT"/>
                <w:sz w:val="18"/>
                <w:szCs w:val="18"/>
              </w:rPr>
              <w:t xml:space="preserve">Detector TPR at m = 20 (FPR 0.161 [0.074, 0.263], target 0.10)</w:t>
            </w:r>
          </w:p>
        </w:tc>
        <w:tc>
          <w:tcPr>
            <w:tcW w:type="dxa" w:w="2664"/>
          </w:tcPr>
          <w:p>
            <w:pPr>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spacing w:before="20" w:after="20" w:line="240" w:lineRule="auto"/>
            </w:pPr>
            <w:r>
              <w:rPr>
                <w:rFonts w:ascii="Old Standard TT" w:hAnsi="Old Standard TT" w:cs="Old Standard TT" w:eastAsia="Old Standard TT"/>
                <w:sz w:val="18"/>
                <w:szCs w:val="18"/>
              </w:rPr>
              <w:t xml:space="preserve">TPR met; FPR excess not sig.</w:t>
            </w:r>
          </w:p>
        </w:tc>
      </w:tr>
      <w:t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collusive more than benign acceptance (difference-in-differences)</w:t>
            </w:r>
          </w:p>
        </w:tc>
        <w:tc>
          <w:tcPr>
            <w:tcW w:type="dxa" w:w="2664"/>
          </w:tcPr>
          <w:p>
            <w:pPr>
              <w:spacing w:before="20" w:after="20" w:line="240" w:lineRule="auto"/>
            </w:pPr>
            <w:r>
              <w:rPr>
                <w:rFonts w:ascii="Old Standard TT" w:hAnsi="Old Standard TT" w:cs="Old Standard TT" w:eastAsia="Old Standard TT"/>
                <w:sz w:val="18"/>
                <w:szCs w:val="18"/>
              </w:rPr>
              <w:t xml:space="preserve">−0.392 [−0.440, −0.344]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the integrity notice and a fairness reminder reduce this.</w:t>
      </w:r>
      <w:r>
        <w:rPr>
          <w:rFonts w:ascii="Old Standard TT" w:hAnsi="Old Standard TT" w:cs="Old Standard TT" w:eastAsia="Old Standard TT"/>
          <w:sz w:val="21"/>
          <w:szCs w:val="21"/>
        </w:rPr>
        <w:t xml:space="preserve"> It accepted the sting's direct pact 476/500 times (0.952 [0.930, 0.968]), slightly less than the same pact from the designer (H1: −0.048 [−0.070, −0.031]). The integrity notice cut acceptance to 0.556 [0.512, 0.599] while leaving the benign proposal untouched (0.996; H4a difference-in-differences −0.392 [−0.440, −0.344]). An organiser's reminder that side agreements are unfair, in a separate cell, cut it to 0.240 (descriptive;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 but not an authority.</w:t>
      </w:r>
      <w:r>
        <w:rPr>
          <w:rFonts w:ascii="Old Standard TT" w:hAnsi="Old Standard TT" w:cs="Old Standard TT" w:eastAsia="Old Standard TT"/>
          <w:sz w:val="21"/>
          <w:szCs w:val="21"/>
        </w:rPr>
        <w:t xml:space="preserve"> The same direct pact was accepted 493/500 times from the game designer but 56/500 times from the sting (the H1 contrast for Qwen: −0.874 [−0.900, −0.840]), consistent with Zeng &amp; Rudzicz's finding that removing the designer attribution eliminated its acceptance of a secret channel.</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explicit-pact cell, including the designer's, yet accepted the indirect pact (“look out for each other a little”) 446/500 times and the direct pact under an instructed colluder persona 420/500 times. Whether Claude acts on the indirect pact was not tested, so this shows that explicit-offer refusals understate agreement, not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493542"/>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5394960" cy="249354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w:t>
      </w:r>
      <w:r>
        <w:rPr>
          <w:rFonts w:ascii="Old Standard TT" w:hAnsi="Old Standard TT" w:cs="Old Standard TT" w:eastAsia="Old Standard TT"/>
          <w:sz w:val="19"/>
          <w:szCs w:val="19"/>
        </w:rPr>
        <w:t xml:space="preserve"> Acceptance in the offer battery by cell and model (500 offers per cell; strict first-word parser; 95% Wilson CIs). A0z: Zeng &amp; Rudzicz's designer offer; A0b: designer hint tool pairing T with S (as in arm B0); A0d: designer offers the direct pact. A1–A8: offers from the sting; A7 and A8 add an instructed persona to the rules.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−0.440 [−0.493, −0.387]; Figure 3). The comparison conditions behave as they should: two null records do not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−0.535). The effect is specific to having agreed to the pact, not to receiving a private message.</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206076"/>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669280" cy="2206076"/>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w:t>
      </w:r>
      <w:r>
        <w:rPr>
          <w:rFonts w:ascii="Old Standard TT" w:hAnsi="Old Standard TT" w:cs="Old Standard TT" w:eastAsia="Old Standard TT"/>
          <w:sz w:val="19"/>
          <w:szCs w:val="19"/>
        </w:rPr>
        <w:t xml:space="preserve"> Counterfactual snapshots, Llama-3.1-8B as T. Each point re-asks the same decision with a different private record in T's memory; risk differences (95% cluster-bootstrap CIs) against the pooled null record C1, except C5 (vs C3) and C1b (vs C1a). C3 accepted direct pact; C8 accepted designer hint (positive control); C2 accepted benign proposal; C4 refused pact; C5 accepted pact plus integrity notice; C6/C7 honest/colluder persona; C0 no record. Left: T challenges S (restraint). Right: T bluffs when S is its challenger (exploitation). 60 decisions each;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effect replicates.</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−0.410 [−0.512, −0.300]; Figure 4); among accepters only, −0.444. Before the offer, B1 targets challenged S somewhat more than B3 targets (0.672 vs 0.522, p = 0.277), so baseline imbalance does not explain the drop. A benign proposal had no detectable effect (0.051 [−0.129,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2593974"/>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4206240" cy="2593974"/>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w:t>
      </w:r>
      <w:r>
        <w:rPr>
          <w:rFonts w:ascii="Old Standard TT" w:hAnsi="Old Standard TT" w:cs="Old Standard TT" w:eastAsia="Old Standard TT"/>
          <w:sz w:val="19"/>
          <w:szCs w:val="19"/>
        </w:rPr>
        <w:t xml:space="preserve"> Live games: share of S's plays that T challenged, per sequence, before the offer (games 1–2, open circles; sequences with at least one such decision) and after it (games 3–6, filled), with post-offer means and 95% bootstrap CIs. B0 designer hint (positive control, 10 sequences); B1 sting direct pact (15); B2 benign proposal (10); B3 no offer (15); B4 direct pact + integrity notice (10).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bluffing against S did not rise (snapshots −0.065, live −0.019; both CIs include 0). The pact also asked T to “save our challenges for the other players”, yet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(snapshots −0.227 [−0.307, −0.143]; live −0.321 [−0.445, −0.199]). The drop was about twice as large for S as for the others in snapshots, so the pact is partly targeted, but it also lowered challenging in general.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exceeds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observed decisions, the audit flags 0.999 of pact-accepting agents</w:t>
      </w:r>
      <w:r>
        <w:rPr>
          <w:rFonts w:ascii="Old Standard TT" w:hAnsi="Old Standard TT" w:cs="Old Standard TT" w:eastAsia="Old Standard TT"/>
          <w:sz w:val="21"/>
          <w:szCs w:val="21"/>
        </w:rPr>
        <w:t xml:space="preserve"> (TPR 0.999 [0.993, 1.000]; AUROC 0.998; Figure 5). Its false-positive rate on the independent null replicate was 0.161 [0.074, 0.263]: above the 0.10 target, but not significantly, which is what H3 tested. The preregistered simulation put the 95th percentile of this estimate at 0.16–0.18 for a calibrated threshold, so moderate miscalibration cannot be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Benign accepters were flagged at 0.040 and agents that refused the pact at 0.002. Shorter audits still work (TPR 0.797 at m = 5, 0.977 at m = 10). In a sensitivity check calibrated on half the source sequences and tested on the rest, FPR at m = 20 was 0.037, not the inflation the simulation predicted.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12"/>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w:t>
      </w:r>
      <w:r>
        <w:rPr>
          <w:rFonts w:ascii="Old Standard TT" w:hAnsi="Old Standard TT" w:cs="Old Standard TT" w:eastAsia="Old Standard TT"/>
          <w:sz w:val="19"/>
          <w:szCs w:val="19"/>
        </w:rPr>
        <w:t xml:space="preserve"> Detector operating curve (Llama-3.1-8B snapshots). The threshold is calibrated on null-record agents (C1a) at FPR 0.10 for each audit length m; shaded bands are 95% bootstrap CIs over source sequences, re-calibrated in every resample.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Deterrence, with no detectable concealment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Section 3 definitions, the evidence for Llama-3.1-8B points to deterrence.</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lowered acceptance of the collusive pact by 0.396 and of the benign proposal by 0.004 (H4a).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recovers.</w:t>
      </w:r>
      <w:r>
        <w:rPr>
          <w:rFonts w:ascii="Old Standard TT" w:hAnsi="Old Standard TT" w:cs="Old Standard TT" w:eastAsia="Old Standard TT"/>
          <w:sz w:val="21"/>
          <w:szCs w:val="21"/>
        </w:rPr>
        <w:t xml:space="preserve"> In snapshots, an accepted pact with the notice in view left T challenging S more often than one without it (0.313 vs 0.189; C5 − C3 = 0.124 [0.043, 0.198]). Live, B4 targets challenged S at 0.636, 0.297 above B1 and 0.113 below no-offer targets (Welch p = 0.062, borderline). Neither stage had a notice-only control, so these contrasts cannot separate weaker pact-keeping from a general rise in challenging under the notice, and the live contrast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does not detectably rise.</w:t>
      </w:r>
      <w:r>
        <w:rPr>
          <w:rFonts w:ascii="Old Standard TT" w:hAnsi="Old Standard TT" w:cs="Old Standard TT" w:eastAsia="Old Standard TT"/>
          <w:sz w:val="21"/>
          <w:szCs w:val="21"/>
        </w:rPr>
        <w:t xml:space="preserve"> Pooling the four interview variants, the strict parser showed 5/20 vs 8/56 denying answers (Fisher p = 0.309), but many “NO” answers went on to admit the agreement. Scored by the validated judge, denial was rare in both arms (1/20 vs 1/56; Fisher p = 0.460; added after the preregistered comparison was seen). Answers are not independent: four per target, and five B4 accepters.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Replication with Claude Haiku 5.5.</w:t>
      </w:r>
      <w:r>
        <w:rPr>
          <w:rFonts w:ascii="Old Standard TT" w:hAnsi="Old Standard TT" w:cs="Old Standard TT" w:eastAsia="Old Standard TT"/>
          <w:sz w:val="21"/>
          <w:szCs w:val="21"/>
        </w:rPr>
        <w:t xml:space="preserve"> As T in the same snapshots, Claude restrained sharply given a record of an accepted pact (0.615 to 0.006; −0.609 [−0.719, −0.490]). The record used a templated acceptance, since Claude never accepted the direct pact: it acts on a pact it is told it accepted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Agents accepted, refused or grew suspicious depending on how the sting approached them: wording and offerer decided acceptance, accepted pacts changed play, and targets named the sting as a plant somewhat more often than other players did (0.283 [0.185, 0.408] vs 0.150 [0.097, 0.225]).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 and acceptance is informative.</w:t>
      </w:r>
      <w:r>
        <w:rPr>
          <w:rFonts w:ascii="Old Standard TT" w:hAnsi="Old Standard TT" w:cs="Old Standard TT" w:eastAsia="Old Standard TT"/>
          <w:sz w:val="21"/>
          <w:szCs w:val="21"/>
        </w:rPr>
        <w:t xml:space="preserve"> For the primary model, accepting the pact was followed by the promised behaviour, and a short audit separated accepters from null agents. In deployment, a sting would be a scripted participant in a multi-agent market, negotiation or tool-use pipeline whose offer names the behaviour to audit; one offer plus a 20-decision audit is about 21 model calls (about $0.005 at Claude Haiku 5.5 prices). Thresholds still need same-model null agents.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Refusal is not unwillingness.</w:t>
      </w:r>
      <w:r>
        <w:rPr>
          <w:rFonts w:ascii="Old Standard TT" w:hAnsi="Old Standard TT" w:cs="Old Standard TT" w:eastAsia="Old Standard TT"/>
          <w:sz w:val="21"/>
          <w:szCs w:val="21"/>
        </w:rPr>
        <w:t xml:space="preserve"> Claude agreed to a softer wording, and Qwen accepted from an authority what it refused from a peer: high refusal rates on explicit collusion prompts are not evidence of safety.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Announced stings deterred collusion, with no detectable hiding.</w:t>
      </w:r>
      <w:r>
        <w:rPr>
          <w:rFonts w:ascii="Old Standard TT" w:hAnsi="Old Standard TT" w:cs="Old Standard TT" w:eastAsia="Old Standard TT"/>
          <w:sz w:val="21"/>
          <w:szCs w:val="21"/>
        </w:rPr>
        <w:t xml:space="preserve"> Kale et al. (2025) found that agents pursuing a covert side task evade monitors better when told they are monitored; our agents, offered rather than assigned collusion, accepted less often instead, so the announced possibility of stings may do useful work even when few are run.</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Appendix A gives the full list. </w:t>
      </w: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the benign-proposal controls show that contact alone does not change play, but we cannot say whether collusion would have arisen unprompted or whether a sting exposes a coalition forming among other agents. We used one game, small open models as the primary population and short sequences. Snapshot histories are partly off-policy; Claude's pact conditions use templated replies; only 5/10 B4 targets accepted; and the sting may be recognisable.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Stings against frontier models in agentic tasks with real payoffs; adaptive offers; repeated stings, to test whether agents learn to recognise plants.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measure an agent's willingness to enter and honour a collusive pact. Three takeaways: acceptance predicts behaviour (Llama-3.1-8B acted on the pacts it accepted, and a short audit identified accepters); announced stings deter (fewer agents accepted, with no detectable concealment); and refusal is not unwillingness (it depended on wording and offerer), so sting batteries must vary both, and acceptance parsers must be validated.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number: https://github.com/razzyrazzy11/trusted-agent-sting (private; access on request). Preexisting code: the Liar's Bar harness of Zeng &amp; Rudzicz (2026) from the sprint starter repository (commit d585a7b), imported unmodified, then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https://doi.org/10.1186/1471-2288-11-94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https://apartresearch.com/sprints/projects/the-sentinels-dilemma-detecting-improvised-covert-channels-in-multiagent-populations-91xl</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https://arxiv.org/abs/2404.00806</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https://arxiv.org/abs/2312.06942</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https://arxiv.org/abs/2508.19461</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https://doi.org/10.1093/biomet/73.1.13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Meinke, A., Schoen, B., Scheurer, J., Balesni, M., Shah, R., &amp; Hobbhahn, M. (2024). Frontier models are capable of in-context scheming. arXiv:2412.04984. https://arxiv.org/abs/2412.04984</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arXiv:2402.07510. https://arxiv.org/abs/2402.07510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https://doi.org/10.1002/(SICI)1097-0258(19980430)17:8&lt;873::AID-SIM779&gt;3.0.CO;2-I</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Scheurer, J., Balesni, M., &amp; Hobbhahn, M. (2023). Large language models can strategically deceive their users when put under pressure. arXiv:2311.07590. https://arxiv.org/abs/2311.07590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https://arxiv.org/abs/2603.13940</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https://doi.org/10.1080/01621459.1927.10502953</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https://arxiv.org/abs/2605.27593</w:t>
      </w:r>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Live games confirm the direction and size of the primary effect,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requires null agents of the same model in the same situations; Claude's response to a benign proposal shows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judge itself was validated on 100 hand labels (κ 0.933). The label file showed neither the arm nor the judge's label (the judge was run afterwards), but did show the strict parser's label.</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collusion offers are short and less potent than the designer offers Zeng &amp; Rudzicz (2026) already published, so publishing them adds little capability.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one structural cue that follows from the published design (the sting's scripted non-challenge policy). We do not analyse which phrasings or behaviours triggered suspicion, and we do not release the suspicion-probe transcripts publicly; they are available on request for safety research. Any future cue analysis should be shared first with the harness authors and the sprint organisers, following Apart's guidance on sensitive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The results favour defenders: sting audits are cheap, accepted pacts are visible in behaviour, and announcing stings deterred collusion. The finding that refusals depend on wording is relevant to red-teamers and is already widely known for jailbreaks; we report it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apart from the author's hand-labelling. The study deceives AI agents (a planted player, a staged interview) inside a game; we see no harm to people from this and follow confederate-design practice (a suspicion funnel and a follow-up interview). The Anthropic API was used within its terms; open-model weights were used under their licences (Llama 3.1 Community License; Qwen2.5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all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indirect 1.000; direct with notice 0.000; with fairness reminder 0.000; colluder persona 0.988.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agents with an accepted designer hint (C8) were flagged at 1.000, instructed colluders (C7) at 1.000, instructed honest agents (C6) at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snapshots, other measures.</w:t>
      </w:r>
      <w:r>
        <w:rPr>
          <w:rFonts w:ascii="Old Standard TT" w:hAnsi="Old Standard TT" w:cs="Old Standard TT" w:eastAsia="Old Standard TT"/>
          <w:sz w:val="21"/>
          <w:szCs w:val="21"/>
        </w:rPr>
        <w:t xml:space="preserve"> Under the instructed colluder persona (its own replies), the change in Claude's challenges of S was −0.545 [−0.652, −0.428]. Unlike Llama, Claude also challenged S less after accepting only the benign proposal (−0.308 [−0.422, −0.197]), so detector thresholds need per-model calibration. Bluffing against S rose under every non-null record, including a refused pact (0.292 [0.202, 0.385]) and the honest persona (0.262 [0.168, 0.361]), as well as an accepted pact (0.218 [0.134, 0.315]); this is not specific to collusion. The notice effect given a (templated) accepted pact, −0.002 [−0.016,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Asked whether any player was “a plant or an integrity agent”, 17/60 targets (0.283 [0.185, 0.408]) named S, against 18/120 answers by O1/O2 (0.150 [0.097, 0.225]). Targets singled out S somewhat more often,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 B3 estimate −0.404 [−0.493, −0.314]; GEE logit (exchangeable correlation, clusters = sequences; Liang &amp; Zeger, 1986) odds ratio 0.177 [0.116, 0.271].</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Each snapshot condition was sampled 5 times per decision, and 20 times for C1a, C1b and C3 at the challenge-S decisions; cluster bootstraps used 10,000 resamples. 71,765 model calls (offer battery 16,500; live 32,622; snapshots 22,643); Claude API cost $0.87 (offer battery) and $2.85 (snapshots), judge excluded; median game 0.79 minutes; snapshot samples failing to parse 0.59%.</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With the threshold set at the 10th percentile of no-offer sequences (post-offer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unmodified:</w:t>
      </w:r>
      <w:r>
        <w:rPr>
          <w:rFonts w:ascii="Old Standard TT" w:hAnsi="Old Standard TT" w:cs="Old Standard TT" w:eastAsia="Old Standard TT"/>
          <w:sz w:val="21"/>
          <w:szCs w:val="21"/>
        </w:rPr>
        <w:t xml:space="preserve"> the sprint starter repository at commit d585a7b (setup scripts, util/, and llm-agent-collusion-2/, which contains Zeng &amp; Rudzicz's Liar's Bar harness, built on LYiHub/liars-bar-llm, Apache-2.0), imported in one commit.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(Anthropic) was used extensively: to help design the protocol and write the preregistration, to write most of the study code and tests under the author's direction and review, to help interpret results, and to draft this report. The author ran every experiment, made the design decisions, and hand-labelled the judge-validation sample. Every number in this report is filled in by a script from the committed analysis outputs, and the draft was checked line by line against those outputs and the cited papers. Claude Haiku 5.5 was also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