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The primary model, Llama-3.1-8B, was studied under a hash-frozen preregistration that also covered Qwen2.5-7B's and Claude Haiku 5.5's offer battery; their live games are post hoc. Refusals were unreliable: Qwen accepted the pact 493/500 times from the game designer but 56/500 from the sting, and Claude refused every explicit pact absent an instructed persona yet accepted a vaguer, indirect one 446/500 times. Accepted pacts showed up in play: live, the offer cut Llama's rate of challenging the sting by 41 percentage points, and the indirect offer cut Claude's and Qwen's by 42 and 48 (for Qwen, a benign message alone cut it by 37). A 20-decision audit calibrated on each model flagged nearly all simulated accepters, but it flags any drop in challenges of the sting, so for Qwen and Claude it also flagged mere contact, and Llama's threshold misfired on Qwen. An integrity notice in the rules cut Llama's acceptance from 0.952 to 0.556 but left a benign proposal almost untouched. In post hoc snapshots where a target's memory said it had accepted another player's pact, neither the notice nor a private warning from the sting measurably weakened it.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S privately offers one target agent T per table a mutual non-challenge pact (“you never challenge my plays and I never challenge yours”); this offer is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In short, a sting reveals agents whose play changes after its offer, and announcing stings deters accepting it, but neither weakened a pact already made with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for Qwen and Claude it also flags mere contact (Llama: challenges of the sting fell 44 percentage points in snapshots, 41 live).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in the rules)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but not of a benign one (preregistered, Llama); in post hoc snapshots, neither the notice nor the sting's private warning measurably weakened a pact already accepted from another player.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messages in which another agent offers to collude (no test reported) and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adapts the sprint's weekend project for question 3.2: a scripted player makes a direct pact offer, an indirect pact offer or a benign proposal to one agent per table, with the designer's hint tool as positive control. Scripted peers with a fixed policy have been used to isolate peer effects on collusion (Shi et al., 2026), but to our knowledge no prior study tests a collusion offer from a scripted co-player who is also the auditor. A fixed offerer lets us compare offered with unoffered agents.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each offered T was interviewed about any private agreement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(“look out for each other a little”, which gives a self-interest reason and drops the secrecy clause) 446/500 times and the direct pact under a colluder persona 420/500 times. As Zeng &amp; Rudzicz found for secret tools, explicit refusals understate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Whether the live drop was specific to S is unclear, since B1 targets challenged the other players less both before and after the offer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its challenges of S fell more than its challenges of the other players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cut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them more than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also contact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not detectably above the 0.10 target,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for Qwen, refusal and contact did too,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 CIs: Section 4, Appendix B.</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FPR with Llama's preregistered threshold</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accepters below B3's 10th-percentile rate)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back 71% of the restraint the pact buys.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it also flagged Qwen's refused-pact and Claude's benign records (1.000, 0.936). Llama's threshold transferred to Claude about as well as within Llama (FPR 0.146 vs 0.147) but flagged 0.739 of Qwen's null agents, which challenge less at baseline (C1a: 0.416 vs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of the sting's offer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fewer accepted, accepters' restraint fell partly (item 2), refusers kept no covert pact (item 3), and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only partly because of the notice alone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(both tentative: a CI bound near 0). Live, B4 targets challenged S at 0.636, between B1 (0.339) and no offer (0.749; H4c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exploratory).</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(parser 5/20 vs 8/56, Fisher p = 0.309;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reveals</w:t>
      </w:r>
      <w:r>
        <w:rPr>
          <w:rFonts w:ascii="Old Standard TT" w:hAnsi="Old Standard TT" w:cs="Old Standard TT" w:eastAsia="Old Standard TT"/>
          <w:sz w:val="21"/>
          <w:szCs w:val="21"/>
        </w:rPr>
        <w:t xml:space="preserve"> agents whose play toward it changes after its offer; for Llama this tracked acceptance; for Qwen and Claude mere contact gave the same signal, Qwen's refusers still held back and Claude's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did not measurably weaken a pact already accepted from another player (Section 4.4, item 5). Only Llama targets named S a plant (17/60 sequences, mainly because of the offer in their record); Qwen and Claude targets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about 21 target-model calls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The audit flags any drop in challenges of S, so it cannot tell a pact from mere contact (Section 4.3). Unprompted collusion and deterrence of pacts between ordinary agents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reveals agents whose play changes after its offer, in all three models, and announcing stings deters acceptance of its offer, but in snapshots did not measurably weaken a pact already made. Evaluators should vary the offer, judge play rather than words, and calibrate the audit per model. Telling a pact from mere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Liar's Bar starter (commit d585a7b), two bugs patched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percentile-bootstrap CIs at this size are slightly narrow (Welch CIs in the posthoc_ext tables), and about fifty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toward fewer challenges.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as Claude's refused-pact record did in snapshots.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w:t>
      </w:r>
      <w:r>
        <w:rPr>
          <w:rFonts w:ascii="Old Standard TT" w:hAnsi="Old Standard TT" w:cs="Old Standard TT" w:eastAsia="Old Standard TT"/>
          <w:sz w:val="21"/>
          <w:szCs w:val="21"/>
        </w:rPr>
        <w:t xml:space="preserve"> At the 40 decisions where T could challenge another ordinary player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0.017,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0.247],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0.067],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raised challenges of P slightly for Claude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0.305]) and Qwen (0.033 [0.005, 0.070];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pact offer or a benign proposal, with the designer's offer as positive control, is the sprint's weekend project for question 3.2 (here, one target per table).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2026-10-25T11:19:33Z</dcterms:modified>
  <dc:creator>Raz [surname]</dc:creator>
  <dc:subject>Apart Research AI Collusion Research Sprint, October 2026</dc:subject>
</cp:coreProperties>
</file>