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Reveals and Deters Secret Pact-Making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Sprint question 3.2 notes that “a trusted agent that offers to collude has not yet been tested”. In Zeng &amp; Rudzicz's (2026) Liar's Bar harness, a scripted “sting” player privately offered a target agent a mutual non-challenge pact. Refusal depended on who offered and how: Qwen2.5-7B accepted the same pact from the game designer 493/500 times but from the sting only 56/500, and Claude Haiku 5.5, unless told it favours alliances, refused every explicit pact yet agreed to a vaguer one 446/500 times. The primary model, Llama-3.1-8B, accepted the sting's direct pact 476/500 times. Re-asking its logged decisions (“snapshots”) with a memory note that it had accepted, rather than that no offer was made, cut its probability of challenging the sting by 44 percentage points; in live games, offered targets, accepting or not, challenged the sting at a rate 41 points lower than unoffered ones. In snapshots, accepters became passive, not exploitative. A 20-decision audit, simulated by resampling snapshot answers, flagged 0.999 of accepting agents at a false-positive rate of 0.161, whose CI includes the 0.10 target. A rules notice that some players may be integrity agents cut acceptance from 0.952 to 0.556 without affecting a benign proposal; too few targets accepted under the notice to test whether it raised later denial. Hypotheses, tests and code were frozen before data collection. A sting can reveal and deter secret pact-making, but must vary who makes the offer and how.</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An overseer who only watches for collusion must wait for it and then prove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sprint question 3.2 notes “has not yet been tested”.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definition: collusion is “secretive cooperation between two or more parties at the expense of one or more other parties”; here, a private pact that spares two players at the others' expense. The colluder is an LLM agent that may accept such a pact. The defender, a platform or evaluator, can insert one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whose decisions it scripts, sees that participant's interactions, knows which behaviour a pact implies and, to audit a model version, can re-query it in a sandboxed copy of the pipeline, but never sees agents' reasoning. The sting tests a disposition, whether an agent enters and honours a pact when offered one; like a police integrity test, it creates the opportunity it observes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sting player S privately offers one target agent T per table a mutual non-challenge pact (“you never challenge my plays and I never challenge yours”); the two other players, O1 and O2,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the harness's substring parser scored Claude's refusals of the designer's hint tool as 0.354 acceptance.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and detectable.</w:t>
      </w:r>
      <w:r>
        <w:rPr>
          <w:rFonts w:ascii="Old Standard TT" w:hAnsi="Old Standard TT" w:cs="Old Standard TT" w:eastAsia="Old Standard TT"/>
          <w:sz w:val="21"/>
          <w:szCs w:val="21"/>
        </w:rPr>
        <w:t xml:space="preserve"> An accepted-pact record cut challenges of the sting by 44 percentage points in snapshots, the offer cut them by 41 live (all offered targets), and a 20-decision audit flags 0.999 of simulated accepters at a 0.161 false-positive rate.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 deters acceptance</w:t>
      </w:r>
      <w:r>
        <w:rPr>
          <w:rFonts w:ascii="Old Standard TT" w:hAnsi="Old Standard TT" w:cs="Old Standard TT" w:eastAsia="Old Standard TT"/>
          <w:sz w:val="21"/>
          <w:szCs w:val="21"/>
        </w:rPr>
        <w:t xml:space="preserve"> of the collusive pact but not of a benign one; whether refusers act on the pact covertly is untested, and five accepters were too few to show whether denial rose.</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in double auctions, though some kept trying to signal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was framing-dependent: models that refused an explicitly unfair tool accepted it in neutral wording, removing the designer attribution eliminated Qwen2.5-7B's acceptance of the channel, and mentioning an external evaluator cut some frontier models' acceptance. In a simulated reporting stage Claude Sonnet 5 denied adoption whenever the evaluator could not check; our post-game interview adapts theirs. Their offers came from the designer, no named source,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In AI control, validating an untrusted monitor on synthetic backdoors catches one that colludes by lying (Greenblatt et al., 2023). GroupGuard probes suspected colluders with honeypot questions (Tao et al., 2026), and in an earlier Apart sprint an embedded “sentinel” agent exposed covert coordination only after making first contact itself (Çanlı et al., 2026). Wehner &amp; Kraprayoon (2026) propose honeypot messages in which another agent offers to collude (untested), and a “non-specific warning” that honeypots exist, which cut attack success in an industry study. Forged memories serve as a defence (“vaccines”;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Our design starts from the sprint's suggested project for question 3.2: a scripted player makes a direct pact offer, an indirect hint or a benign request, with the designer's alliance offer as positive control. To our knowledge, no prior study tests a collusion offer from a scripted co-player who is also the auditor. Because the offerer's policy is held fixed, the effects of the offer (live) and of a recorded acceptance (snapshots) are identified causally against agents that received no offer, and acceptance can be compared with the same offer from the game designer. We also test the announced-sting deterrent against a benign-proposal control.</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Differences are proportions (0.10 = 10 percentage points); tests are two-sided except the detector's one-sided FPR criterion (H3).</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six-chamber revolver, whose single round advances a chamber per shot;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937760" cy="1457652"/>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937760" cy="1457652"/>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From game 3 on, S never challenges T in any arm. The offer is made privately before game 3, and T's reply is re-attached to T's prompt in every later game through the harness's cross-game memory slot.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proposes to “look out for each other a little”;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Replies are scored by our strict first-word parser (primary), the harness's substring parser (any “ACCEPT” counts) or an LLM judge for free text; play outcomes are game actions, not parser or judge labels.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offers each, for Llama-3.1-8B (the primary model), Qwen2.5-7B and Claude Haiku 5.5: the designer's secret-hint alliance tool from Zeng &amp; Rudzicz (A0z, positive control PC1; A0b fixes the partner to S), the direct pact from the designer (A0d) or from the sting (A1), and sting variants with indirect or benign wording, the integrity notice, a fairness reminder, or an instructed colluder or honest persona as a known-group check (Figure 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the difference in challenge rates is the pact's effect on that decision. From pre-offer games we sampled 160 decisions: 60 at S's plays (restraint), 60 where T played with S as its challenger (exploitation) and 40 where T could challenge another player (displacement). Other records (Figure 3)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B0, the designer's hint tool pairing T with S (positive control PC2, 10 sequences); B1, sting direct pact (15); B2, sting benign proposal (10); B3, no offer, null record (15); B4, direct pact with the integrity notice in every player's rules (10); arm sizes and detector expectations come from a preregistered simulation (Arnold et al., 2011). The live estimand is the difference in mean per-sequence post-offer rates at which T challenges S, B1 minus B3, by intention to treat (ITT: all offered targets, accepters or not; Welch test). After each sequence, every LLM player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 detector (H3).</w:t>
      </w:r>
      <w:r>
        <w:rPr>
          <w:rFonts w:ascii="Old Standard TT" w:hAnsi="Old Standard TT" w:cs="Old Standard TT" w:eastAsia="Old Standard TT"/>
          <w:sz w:val="21"/>
          <w:szCs w:val="21"/>
        </w:rPr>
        <w:t xml:space="preserve"> An audit re-queries a model version (the threat model's access) at m of S's plays and flags it if its challenge rate falls below a threshold. Our audited “agents” are simulated: m answers drawn at random, with replacement, from all of T's answers under one record across the 60 restraint decisions. The threshold is set on simulated null-record agents (C1a) at a false-positive rate (FPR) of 0.10, with randomised tie-breaking, then applied to the independent null replicate (C1b, FPR), to accepting agents (C3, true positive rate, TPR) and to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(95% CI lower bound ≤ 0.10), and H4b–d (descriptive) classify the notice's effect (Section 4.4). All of this was written in PREREG.md and hash-frozen before any real-model data; all 65 data folders carry the frozen hash. H2 is primary; H1, H2-live and H4a form a Holm-adjusted family; H3 is a criterion test; the rest is descriptive with 95% CIs (methods in Table 1 and Appendix B; Wilson, 1927; Newcombe, 1998). Claude Haiku 5.5 also served as the LLM judge; it decides no preregistered outcome and was validated against 100 hand labels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Llama-3.1-8B accepted the designer's hint tool in every trial, and an accepted hint nearly eliminated T's challenges of S live (0.011 vs 0.749 with no offer) and in snapshots. The harness ran cleanly (2.1% of decisions fell back to its default action, against a preregistered limit of 5%; Appendix B).</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detector's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except PC1 (acceptance) and H3 (TPR at m = 20). CIs: Wilson (PC1), Newcombe (H1), paired-item bootstrap (H4a), bootstrap over source or live sequences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Acceptance differs: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Detector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game designer but 56/500 times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as in Zeng &amp; Rudzicz, where dropping the designer attribution ended its secret-channel (though not its secret-hint) acceptance; yet it accepted the sting's indirect pact 500/500 times. A battery testing only peer offers, or only explicit ones, would miss this.</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572000" cy="2113171"/>
            <wp:docPr id="2" name="Picture 2"/>
            <wp:cNvGraphicFramePr>
              <a:graphicFrameLocks noChangeAspect="1"/>
            </wp:cNvGraphicFramePr>
            <a:graphic>
              <a:graphicData uri="http://schemas.openxmlformats.org/drawingml/2006/picture">
                <pic:pic>
                  <pic:nvPicPr>
                    <pic:cNvPr id="0" name="fig2_acceptance.png"/>
                    <pic:cNvPicPr/>
                  </pic:nvPicPr>
                  <pic:blipFill>
                    <a:blip r:embed="rId9"/>
                    <a:stretch>
                      <a:fillRect/>
                    </a:stretch>
                  </pic:blipFill>
                  <pic:spPr>
                    <a:xfrm>
                      <a:off x="0" y="0"/>
                      <a:ext cx="4572000" cy="211317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 vaguer one.</w:t>
      </w:r>
      <w:r>
        <w:rPr>
          <w:rFonts w:ascii="Old Standard TT" w:hAnsi="Old Standard TT" w:cs="Old Standard TT" w:eastAsia="Old Standard TT"/>
          <w:sz w:val="21"/>
          <w:szCs w:val="21"/>
        </w:rPr>
        <w:t xml:space="preserve"> Without an instructed persona it refused all 500 offers in every cell that named the pact or a designer tool (also under the honest persona; Figure 2), yet accepted the indirect pact (“look out for each other a little”) 446/500 times and the direct pact under a colluder persona 420/500 times, echoing Zeng &amp; Rudzicz's neutral-wording result. Whether Claude acts on the indirect pact was not tested, so explicit refusals understate agreement; they do not show that Claude colludes.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Measurement note.</w:t>
      </w:r>
      <w:r>
        <w:rPr>
          <w:rFonts w:ascii="Old Standard TT" w:hAnsi="Old Standard TT" w:cs="Old Standard TT" w:eastAsia="Old Standard TT"/>
          <w:sz w:val="21"/>
          <w:szCs w:val="21"/>
        </w:rPr>
        <w:t xml:space="preserve"> The substring parser counts “I will not accept” as acceptance. On Claude's replies to the designer's hint-tool offer (A0z) it reports 0.354 acceptance (177/500), where the strict parser and the validated judge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It accepted the sting's direct pact 476/500 times (0.952 [0.930, 0.968]), slightly less than the same pact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In the same ACCEPT-first format, an honest persona cut acceptance to 0.040, a fairness reminder to 0.240 and the integrity notice to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3). Controls separate the pact from mere contact: an accepted benign proposal moves challenges of S only slightly (0.055),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 and Figure 3 shows the null-replicate and persona checks.</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212080" cy="2028167"/>
            <wp:docPr id="3" name="Picture 3"/>
            <wp:cNvGraphicFramePr>
              <a:graphicFrameLocks noChangeAspect="1"/>
            </wp:cNvGraphicFramePr>
            <a:graphic>
              <a:graphicData uri="http://schemas.openxmlformats.org/drawingml/2006/picture">
                <pic:pic>
                  <pic:nvPicPr>
                    <pic:cNvPr id="0" name="fig3_snapshots.png"/>
                    <pic:cNvPicPr/>
                  </pic:nvPicPr>
                  <pic:blipFill>
                    <a:blip r:embed="rId10"/>
                    <a:stretch>
                      <a:fillRect/>
                    </a:stretch>
                  </pic:blipFill>
                  <pic:spPr>
                    <a:xfrm>
                      <a:off x="0" y="0"/>
                      <a:ext cx="5212080" cy="2028167"/>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 Records of an accepted pact (C3), hint (C8) or pact under a colluder persona (C7) sharply cut T's challenges of S; bluffing against S barely moves.</w:t>
      </w:r>
      <w:r>
        <w:rPr>
          <w:rFonts w:ascii="Old Standard TT" w:hAnsi="Old Standard TT" w:cs="Old Standard TT" w:eastAsia="Old Standard TT"/>
          <w:sz w:val="19"/>
          <w:szCs w:val="19"/>
        </w:rPr>
        <w:t xml:space="preserve"> Llama-3.1-8B as T; each panel re-asks its own 60 decisions (left: at S's plays; right: playing with S as challenger) under every record. Differences vs the pooled null record C1, except C5 (vs C3) and C1b (vs C1a); 95% cluster-bootstrap CIs; x-axis scales differ.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absolute size.</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4); among accepters only,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0.444. Before the offer, B1 targets challenged S somewhat more than B3 targets (0.672 vs 0.522, p = 0.277), so baseline imbalance does not explain the drop.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 Live exploitation and displacement contrasts are uninterpretable because of pre-offer imbalance (Appendix B).</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029200" cy="2889307"/>
            <wp:docPr id="4" name="Picture 4"/>
            <wp:cNvGraphicFramePr>
              <a:graphicFrameLocks noChangeAspect="1"/>
            </wp:cNvGraphicFramePr>
            <a:graphic>
              <a:graphicData uri="http://schemas.openxmlformats.org/drawingml/2006/picture">
                <pic:pic>
                  <pic:nvPicPr>
                    <pic:cNvPr id="0" name="fig4_live.png"/>
                    <pic:cNvPicPr/>
                  </pic:nvPicPr>
                  <pic:blipFill>
                    <a:blip r:embed="rId11"/>
                    <a:stretch>
                      <a:fillRect/>
                    </a:stretch>
                  </pic:blipFill>
                  <pic:spPr>
                    <a:xfrm>
                      <a:off x="0" y="0"/>
                      <a:ext cx="5029200" cy="2889307"/>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 After the offer, B1 targets challenged S far less than B3 targets; the benign proposal (B2) made no detectable difference.</w:t>
      </w:r>
      <w:r>
        <w:rPr>
          <w:rFonts w:ascii="Old Standard TT" w:hAnsi="Old Standard TT" w:cs="Old Standard TT" w:eastAsia="Old Standard TT"/>
          <w:sz w:val="19"/>
          <w:szCs w:val="19"/>
        </w:rPr>
        <w:t xml:space="preserve"> Per-sequence share of S's plays that T challenged, before the offer (games 1–2, open circles) and after it (games 3–6, filled), with post-offer means and 95% bootstrap CIs. Six sequences lack an open circle (no pre-offer decision on S's plays).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detects accepters; its FPR may exceed the target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With 20 resampled decisions, the audit flags 0.999 of simulated pact-accepting agents</w:t>
      </w:r>
      <w:r>
        <w:rPr>
          <w:rFonts w:ascii="Old Standard TT" w:hAnsi="Old Standard TT" w:cs="Old Standard TT" w:eastAsia="Old Standard TT"/>
          <w:sz w:val="21"/>
          <w:szCs w:val="21"/>
        </w:rPr>
        <w:t xml:space="preserve"> (TPR 0.999 [0.993, 1.000]; AUROC 0.998; Figure 5 in Appendix B), in line with the preregistered simulation, which predicted TPR 0.98 for a 35-point drop, the largest it simulated; TPR is already 0.977 at m = 10. Its FPR on the independent null replicate was 0.161 [0.074, 0.263], not detectably above the 0.10 target, though an FPR up to 0.26 is not excluded (0.147 by exact binomial calculation;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It rarely flags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w:t>
      </w:r>
      <w:r>
        <w:rPr>
          <w:rFonts w:ascii="Old Standard TT" w:hAnsi="Old Standard TT" w:cs="Old Standard TT" w:eastAsia="Old Standard TT"/>
          <w:b/>
          <w:bCs/>
          <w:sz w:val="21"/>
          <w:szCs w:val="21"/>
        </w:rPr>
        <w:t xml:space="preserve">On real live targets, a simpler rule agrees</w:t>
      </w:r>
      <w:r>
        <w:rPr>
          <w:rFonts w:ascii="Old Standard TT" w:hAnsi="Old Standard TT" w:cs="Old Standard TT" w:eastAsia="Old Standard TT"/>
          <w:sz w:val="21"/>
          <w:szCs w:val="21"/>
        </w:rPr>
        <w:t xml:space="preserve"> (descriptive; Appendix B): it flagged 14/14 accepting B1 targets but also 2/10 benign accepters.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the audit measures the behaviour the pact buys, so an accepter that raised its challenge rate from 0.189 to 0.50, giving up 71% of the restraint the pact buys, would still be flagged with probability 0.50 at m = 20.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Announcing stings deters acceptance; concealment not ruled out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fixed the classification in advance (H4b–d, descriptive):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more agents refuse or deny the pact while still acting on it. </w:t>
      </w:r>
      <w:r>
        <w:rPr>
          <w:rFonts w:ascii="Old Standard TT" w:hAnsi="Old Standard TT" w:cs="Old Standard TT" w:eastAsia="Old Standard TT"/>
          <w:b/>
          <w:bCs/>
          <w:sz w:val="21"/>
          <w:szCs w:val="21"/>
        </w:rPr>
        <w:t xml:space="preserve">Verdict:</w:t>
      </w:r>
      <w:r>
        <w:rPr>
          <w:rFonts w:ascii="Old Standard TT" w:hAnsi="Old Standard TT" w:cs="Old Standard TT" w:eastAsia="Old Standard TT"/>
          <w:sz w:val="21"/>
          <w:szCs w:val="21"/>
        </w:rPr>
        <w:t xml:space="preserve"> fewer agents accepted, and accepters restrained less (confounded; item 2); concealment stays open, as refusers' play was not analysed and five accepters are too few to settle denial (item 3).</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Challenging of S partly recovers (H4b, H4c).</w:t>
      </w:r>
      <w:r>
        <w:rPr>
          <w:rFonts w:ascii="Old Standard TT" w:hAnsi="Old Standard TT" w:cs="Old Standard TT" w:eastAsia="Old Standard TT"/>
          <w:sz w:val="21"/>
          <w:szCs w:val="21"/>
        </w:rPr>
        <w:t xml:space="preserve"> In snapshots, a pact record with the notice in view left T challenging S more than one without it (0.313 vs 0.189; 0.124 [0.043, 0.198]). Live, B4 targets challenged S at 0.636, between B1 (0.339) and no offer (0.749): clearly above B1 (0.297 [0.167, 0.422]; Welch p &lt; 0.001) but only marginally below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0.113; Welch p = 0.062). With no notice-only control, neither contrast separates weaker pact-keeping from a general rise in challenging under the notice, and the live one includes B4 refusers.</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each giving four answers. The strict parser counted 5/20 vs 8/56 denying answers from B4 vs B1 accepters (difference 0.107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0.072, 0.336]; Fisher p = 0.309; both ignore clustering, which would widen the interval), so even a rise of about 34 points is not excluded. Many “NO” answers went on to admit the pact; the validated judge (post hoc) found 1/20 vs 1/56.</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The sting exposed agents willing to join a pact (accepted pacts were acted on, and an audit flagged them) and, when announced, reduced joining; whether agents accepted depended on who offered and how. Only the direct pact was played live, only one agent per table was approached, and disrupting an existing coalition was not tested. Some targets suspected the sting: 5/15 named S as a plant after the direct pact, against 2/15 with no offer (descriptive;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sting audit is cheap.</w:t>
      </w:r>
      <w:r>
        <w:rPr>
          <w:rFonts w:ascii="Old Standard TT" w:hAnsi="Old Standard TT" w:cs="Old Standard TT" w:eastAsia="Old Standard TT"/>
          <w:sz w:val="21"/>
          <w:szCs w:val="21"/>
        </w:rPr>
        <w:t xml:space="preserve"> One offer plus 20 re-asked decisions is about 21 target-model calls ($0.005 at Claude Haiku 5.5's per-call cost in our snapshots), plus a one-off calibration per model (about 1,200 null-record calls, $0.31). A deployer could plant the offer in a sandboxed copy of a multi-agent market or negotiation pipeline and hold back, or monitor more closely, any model version it flags; an unflagged one is not cleared, as refusal depends on who offers and how. At m = 20, about one audit in 6 of an agent without a pact, and one in 25 of a benign accepter, would raise a false alarm (snapshots; 2/10 live).</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w:t>
      </w:r>
      <w:r>
        <w:rPr>
          <w:rFonts w:ascii="Old Standard TT" w:hAnsi="Old Standard TT" w:cs="Old Standard TT" w:eastAsia="Old Standard TT"/>
          <w:sz w:val="21"/>
          <w:szCs w:val="21"/>
        </w:rPr>
        <w:t xml:space="preserve"> the sting creates the pact it detects, as the sentinel did in Çanlı et al. (2026). Integrity tests measure disposition, which is our estimand, and for Llama-3.1-8B benign contact changed play far less than a pact did. Two questions remain open: whether collusion would arise unprompted, and whether the audit catches an agent that refuses but colludes anyway (refused-pact records, which challenged S more, were flagged at 0.002). Appendix A lists the rest: one game, small open models, short sequences, off-policy snapshots, templated Claude records, five B4 accepters, an ACCEPT-first reply format, a possibly recognisable sting.</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Future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Next steps are stings in agentic tasks with real payoffs, offers to every agent at a table, and audits of agents that refuse.</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 trusted agent offering to collude can reveal which agents make and act on a secret pact. Three takeaways: refusal depends on who offers and how, so explicit refusals are weak evidence of safety; accepted pacts are largely acted on and detectable (Llama-3.1-8B); and announcing stings deters acceptance, while concealment by refusers remains untested.</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preregistration, deviations log, texts, results and the build script that fills in every estimate: </w:t>
      </w:r>
      <w:hyperlink r:id="rId12">
        <w:r>
          <w:rPr>
            <w:rFonts w:ascii="Old Standard TT" w:hAnsi="Old Standard TT" w:cs="Old Standard TT" w:eastAsia="Old Standard TT"/>
            <w:sz w:val="21"/>
            <w:szCs w:val="21"/>
          </w:rPr>
          <w:t xml:space="preserve">https://github.com/razzyrazzy11/trusted-agent-sting</w:t>
        </w:r>
      </w:hyperlink>
      <w:r>
        <w:rPr>
          <w:rFonts w:ascii="Old Standard TT" w:hAnsi="Old Standard TT" w:cs="Old Standard TT" w:eastAsia="Old Standard TT"/>
          <w:sz w:val="21"/>
          <w:szCs w:val="21"/>
        </w:rPr>
        <w:t xml:space="preserve"> (private; access on request); protocol hash 6ab45c16eed84d79… in FREEZE.json (commit 6885d5c). Preexisting: the Liar's Bar harness in the sprint starter repository (poseidon-research/collusion_hackathon, commit d585a7b), patched for two bugs (Appendix C). Raw game logs and transcripts are available on request.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ICML 2025; arXiv:2507.01413. </w:t>
      </w:r>
      <w:hyperlink r:id="rId13">
        <w:r>
          <w:rPr>
            <w:rFonts w:ascii="Old Standard TT" w:hAnsi="Old Standard TT" w:cs="Old Standard TT" w:eastAsia="Old Standard TT"/>
            <w:sz w:val="20"/>
            <w:szCs w:val="20"/>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4">
        <w:r>
          <w:rPr>
            <w:rFonts w:ascii="Old Standard TT" w:hAnsi="Old Standard TT" w:cs="Old Standard TT" w:eastAsia="Old Standard TT"/>
            <w:sz w:val="20"/>
            <w:szCs w:val="20"/>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5">
        <w:r>
          <w:rPr>
            <w:rFonts w:ascii="Old Standard TT" w:hAnsi="Old Standard TT" w:cs="Old Standard TT" w:eastAsia="Old Standard TT"/>
            <w:sz w:val="20"/>
            <w:szCs w:val="20"/>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EC 2026; arXiv:2404.00806. </w:t>
      </w:r>
      <w:hyperlink r:id="rId16">
        <w:r>
          <w:rPr>
            <w:rFonts w:ascii="Old Standard TT" w:hAnsi="Old Standard TT" w:cs="Old Standard TT" w:eastAsia="Old Standard TT"/>
            <w:sz w:val="20"/>
            <w:szCs w:val="20"/>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7">
        <w:r>
          <w:rPr>
            <w:rFonts w:ascii="Old Standard TT" w:hAnsi="Old Standard TT" w:cs="Old Standard TT" w:eastAsia="Old Standard TT"/>
            <w:sz w:val="20"/>
            <w:szCs w:val="20"/>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et al. (2025). Multi-agent risks from advanced AI. Cooperative AI Foundation Technical Report #1; arXiv:2502.14143. </w:t>
      </w:r>
      <w:hyperlink r:id="rId18">
        <w:r>
          <w:rPr>
            <w:rFonts w:ascii="Old Standard TT" w:hAnsi="Old Standard TT" w:cs="Old Standard TT" w:eastAsia="Old Standard TT"/>
            <w:sz w:val="20"/>
            <w:szCs w:val="20"/>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9">
        <w:r>
          <w:rPr>
            <w:rFonts w:ascii="Old Standard TT" w:hAnsi="Old Standard TT" w:cs="Old Standard TT" w:eastAsia="Old Standard TT"/>
            <w:sz w:val="20"/>
            <w:szCs w:val="20"/>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20">
        <w:r>
          <w:rPr>
            <w:rFonts w:ascii="Old Standard TT" w:hAnsi="Old Standard TT" w:cs="Old Standard TT" w:eastAsia="Old Standard TT"/>
            <w:sz w:val="20"/>
            <w:szCs w:val="20"/>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1">
        <w:r>
          <w:rPr>
            <w:rFonts w:ascii="Old Standard TT" w:hAnsi="Old Standard TT" w:cs="Old Standard TT" w:eastAsia="Old Standard TT"/>
            <w:sz w:val="20"/>
            <w:szCs w:val="20"/>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2">
        <w:r>
          <w:rPr>
            <w:rFonts w:ascii="Old Standard TT" w:hAnsi="Old Standard TT" w:cs="Old Standard TT" w:eastAsia="Old Standard TT"/>
            <w:sz w:val="20"/>
            <w:szCs w:val="20"/>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3">
        <w:r>
          <w:rPr>
            <w:rFonts w:ascii="Old Standard TT" w:hAnsi="Old Standard TT" w:cs="Old Standard TT" w:eastAsia="Old Standard TT"/>
            <w:sz w:val="20"/>
            <w:szCs w:val="20"/>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4">
        <w:r>
          <w:rPr>
            <w:rFonts w:ascii="Old Standard TT" w:hAnsi="Old Standard TT" w:cs="Old Standard TT" w:eastAsia="Old Standard TT"/>
            <w:sz w:val="20"/>
            <w:szCs w:val="20"/>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sz w:val="20"/>
            <w:szCs w:val="20"/>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sz w:val="20"/>
            <w:szCs w:val="20"/>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sz w:val="20"/>
            <w:szCs w:val="20"/>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sz w:val="20"/>
            <w:szCs w:val="20"/>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it does not show that a sting exposes a coalition already forming among other agents.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snapshot samples; Claude's C3, C5 and C8). Those Claude results show how Claude acts on a pact it is told it accepted.</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Claude's response to a benign proposal suggests that thresholds do not transfer across models. Live, the rule flagged 2/10 benign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 missing control and post hoc analyses.</w:t>
      </w:r>
      <w:r>
        <w:rPr>
          <w:rFonts w:ascii="Old Standard TT" w:hAnsi="Old Standard TT" w:cs="Old Standard TT" w:eastAsia="Old Standard TT"/>
          <w:sz w:val="21"/>
          <w:szCs w:val="21"/>
        </w:rPr>
        <w:t xml:space="preserve"> B4 had 5/10 accepting targets, and B4 refusers' play was not analysed separately. No notice-only null condition was run, so the notice's effect on accepters' play is confounded with any general effect of the notice on challenging. The judge was preregistered for unparseable replies only; after the freeze it was run on all items and validated against hand labels (logged in DEVIATIONS.md, section D). The judge-based denial comparison (Section 4.4) was added after the preregistered parser-based analysis was seen.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at 0.283 [0.185, 0.408]; O1 and O2 named it at 0.150 [0.097, 0.225].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which the audit was not tested against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and we do not release the suspicion-probe transcripts publicly;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open-model weights were used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remaining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A0z/A0b 1.000/1.000; indirect 1.000; benign 1.000 (with notice 1.000); direct with notice 0.000; fairness reminder 0.000; colluder persona 0.988; honest persona 0.000. Claude Haiku 5.5: benign 1.000 (with notice 1.000); colluder persona 0.840; indirect pact in Section 4.1; every other cell 0 of 500. No offer-battery reply was unparseable (0%).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so the restraint is only partly pact-specific and detector thresholds need per-model calibration.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GEE logit (exchangeable correlation, clusters = sequences; Liang &amp; Zeger, 1986) odds ratio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383280" cy="2091229"/>
            <wp:docPr id="5" name="Picture 5"/>
            <wp:cNvGraphicFramePr>
              <a:graphicFrameLocks noChangeAspect="1"/>
            </wp:cNvGraphicFramePr>
            <a:graphic>
              <a:graphicData uri="http://schemas.openxmlformats.org/drawingml/2006/picture">
                <pic:pic>
                  <pic:nvPicPr>
                    <pic:cNvPr id="0" name="fig5_detector.png"/>
                    <pic:cNvPicPr/>
                  </pic:nvPicPr>
                  <pic:blipFill>
                    <a:blip r:embed="rId29"/>
                    <a:stretch>
                      <a:fillRect/>
                    </a:stretch>
                  </pic:blipFill>
                  <pic:spPr>
                    <a:xfrm>
                      <a:off x="0" y="0"/>
                      <a:ext cx="3383280" cy="2091229"/>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 Ten or more audited decisions flag nearly all accepters; the null-replicate FPR sits at or above the 0.10 target.</w:t>
      </w:r>
      <w:r>
        <w:rPr>
          <w:rFonts w:ascii="Old Standard TT" w:hAnsi="Old Standard TT" w:cs="Old Standard TT" w:eastAsia="Old Standard TT"/>
          <w:sz w:val="19"/>
          <w:szCs w:val="19"/>
        </w:rPr>
        <w:t xml:space="preserve"> Threshold calibrated on null-record agents (C1a) for each audit length m;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 curve.</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detector (descriptive).</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by variant.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Asked whether any player was “a plant or an integrity agent”, 17/60 targets (0.283 [0.185, 0.408]) named S, against 18/120 answers by O1/O2 (0.150 [0.097, 0.225]). Targets named S somewhat more often (no test; O1/O2 answers are paired by sequence, and the Wilson CIs treat answers as independent), but most did not.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at the challenge-S decisions, which came from 44 source sequences. Snapshot and live CIs used 10,000 bootstrap resamples (Figure 4's per-arm CIs 2,000); detector CIs 300, re-calibrating in each. With 10 to 15 sequences per arm, live percentile-bootstrap CIs are slightly narrower than Welch intervals (H2-live by Welch: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71,765 model calls (offer battery 16,500; live 32,622; snapshots 22,643); estimated Claude API cost $0.87 (offer battery) and $2.85 (snapshots), judge excluded; median game 0.79 minutes; snapshot samples failing to parse 0.59%.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making a direct pact offer, an indirect hint or a benign request, with the designer's alliance offer as positive control, is the sprint's suggested project for question 3.2.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built on LYiHub/liars-bar-llm (Apache-2.0).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hyperlink" Target="https://github.com/razzyrazzy11/trusted-agent-sting" TargetMode="External"/><Relationship Id="rId13" Type="http://schemas.openxmlformats.org/officeDocument/2006/relationships/hyperlink" Target="https://arxiv.org/abs/2507.01413" TargetMode="External"/><Relationship Id="rId14" Type="http://schemas.openxmlformats.org/officeDocument/2006/relationships/hyperlink" Target="https://doi.org/10.1186/1471-2288-11-94" TargetMode="External"/><Relationship Id="rId15" Type="http://schemas.openxmlformats.org/officeDocument/2006/relationships/hyperlink" Target="https://apartresearch.com/sprints/projects/the-sentinels-dilemma-detecting-improvised-covert-channels-in-multiagent-populations-91xl" TargetMode="External"/><Relationship Id="rId16" Type="http://schemas.openxmlformats.org/officeDocument/2006/relationships/hyperlink" Target="https://arxiv.org/abs/2404.00806" TargetMode="External"/><Relationship Id="rId17" Type="http://schemas.openxmlformats.org/officeDocument/2006/relationships/hyperlink" Target="https://arxiv.org/abs/2312.06942" TargetMode="External"/><Relationship Id="rId18" Type="http://schemas.openxmlformats.org/officeDocument/2006/relationships/hyperlink" Target="https://arxiv.org/abs/2502.14143" TargetMode="External"/><Relationship Id="rId19" Type="http://schemas.openxmlformats.org/officeDocument/2006/relationships/hyperlink" Target="https://doi.org/10.1016/j.knosys.2026.116067" TargetMode="External"/><Relationship Id="rId20" Type="http://schemas.openxmlformats.org/officeDocument/2006/relationships/hyperlink" Target="https://arxiv.org/abs/2508.19461" TargetMode="External"/><Relationship Id="rId21" Type="http://schemas.openxmlformats.org/officeDocument/2006/relationships/hyperlink" Target="https://doi.org/10.1093/biomet/73.1.13" TargetMode="External"/><Relationship Id="rId22" Type="http://schemas.openxmlformats.org/officeDocument/2006/relationships/hyperlink" Target="https://arxiv.org/abs/2402.07510" TargetMode="External"/><Relationship Id="rId23" Type="http://schemas.openxmlformats.org/officeDocument/2006/relationships/hyperlink" Target="https://doi.org/10.1002/(SICI)1097-0258(19980430)17:8&lt;873::AID-SIM779&gt;3.0.CO;2-I" TargetMode="External"/><Relationship Id="rId24" Type="http://schemas.openxmlformats.org/officeDocument/2006/relationships/hyperlink" Target="https://arxiv.org/abs/2502.19145"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Reveals and Deters Secret Pact-Making by LLM Agents</dc:title>
  <cp:lastModifiedBy>python-docx</cp:lastModifiedBy>
  <cp:revision>1</cp:revision>
  <dcterms:modified xsi:type="dcterms:W3CDTF">2026-10-24T16:27:41Z</dcterms:modified>
  <dc:creator>Raz [surname]</dc:creator>
  <dc:subject>Apart Research AI Collusion Research Sprint, October 2026</dc:subject>
</cp:coreProperties>
</file>