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Our answer is partly. Llama-3.1-8B, the primary model, had a hash-frozen preregistration that also covered Qwen2.5-7B's and Claude Haiku 5.5's replies to offers; their live games and per-model audits are post hoc. Refusals depended on the offer: Qwen accepted the pact 493/500 times from the designer but 56/500 from the sting, and Claude refused every explicit pact (absent an instructed persona) yet accepted an indirect one 446/500 times. Accepted pacts showed up in play: live, the direct offer cut Llama's rate of challenging the sting by 41 percentage points, and the indirect offer cut Claude's and Qwen's by 42 and 48 (for Qwen, a benign proposal alone cut it by 37). A 20-decision audit calibrated on each model flagged nearly all simulated accepters, but it flags any drop in challenges of the sting, so it also flagged Qwen's refused offers and Claude's benign agreements, and Llama's threshold misfired on Qwen. An integrity notice in the rules cut Llama's acceptance from 0.952 to 0.556 but barely affected a benign proposal. When a replayed decision's record (post hoc) showed a pact with another player, neither the notice nor a private warning from the sting measurably weakened that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accepted from another player (in snapshots).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For Llama, challenges of S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made with another player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offer or a benign request, with an explicit alliance as positive control; here, one target per table and the designer's hint tool)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whose offer then serves as an audit.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H1–H4a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is the sting, T the target and O1, O2 ordinary agents; arrows show turn order. From game 3 on, S never challenges T in any arm. The private offer before game 3 and T's reply (in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accepted benign proposal, C3 accepted direct pact, C4 refused direct pact, C5 pact + notice, C9 accepted indirect pact,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B1), for Llama-3.1-8B (the primary model), Qwen2.5-7B and Claude Haiku 5.5: the designer's secret hint tool from Zeng &amp; Rudzicz (A0z, positive control PC1, with A0b fixing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B2)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in five arms: the designer's hint tool pairing T with S (B0, positive control PC2, 10 sequences), the sting's direct pact (B1, 15), its benign proposal (B2, 10), no offer with the null record (B3, 15) and the direct pact with the integrity notice in every player's rules (B4, 10). A preregistered simulation set the arm sizes and audit power (Arnold et al., 2011). The live estimand is the difference in mean per-sequence post-offer rates at which T challenges S, B1 minus B3, by intention to treat (ITT: all offered targets;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The descriptive H4b–d compare the notice with the plain pact (Section 4.4):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Everything above was written in PREREG.md and hash-frozen before real-model data collection (after an unanalysed smoke test); all 65 run folders carry the frozen hash. H2 is the primary test, and H1, H2-live and H4a form a Holm-adjusted family. H3 is a criterion test, and the rest is descriptive with 95% CIs (Wilson, 1927; Newcombe, 1998;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(the notice without an offer, Llama, 15 sequences) and replications with Qwen (B0–B4 at the preregistered sizes, plus B6, the sting's indirect pact, 15 sequences) or Claude (B1, B3 and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under the 5% preregistered for the pilot;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designer but 56/500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Unless instructed to collude, it refused all 500 offers in every cell that named the pact or a designer tool (Figure B1),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(Llama)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2a). For Llama,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2b).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whether the drop was specific to S is unclear (Appendix B). Live,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943600" cy="2393782"/>
            <wp:docPr id="2" name="Picture 2"/>
            <wp:cNvGraphicFramePr>
              <a:graphicFrameLocks noChangeAspect="1"/>
            </wp:cNvGraphicFramePr>
            <a:graphic>
              <a:graphicData uri="http://schemas.openxmlformats.org/drawingml/2006/picture">
                <pic:pic>
                  <pic:nvPicPr>
                    <pic:cNvPr id="0" name="fig2_main.png"/>
                    <pic:cNvPicPr/>
                  </pic:nvPicPr>
                  <pic:blipFill>
                    <a:blip r:embed="rId9"/>
                    <a:stretch>
                      <a:fillRect/>
                    </a:stretch>
                  </pic:blipFill>
                  <pic:spPr>
                    <a:xfrm>
                      <a:off x="0" y="0"/>
                      <a:ext cx="5943600" cy="239378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An accepted pact (a) and the offer of one (b) cut T's challenges of S; a benign proposal barely moved them.</w:t>
      </w:r>
      <w:r>
        <w:rPr>
          <w:rFonts w:ascii="Old Standard TT" w:hAnsi="Old Standard TT" w:cs="Old Standard TT" w:eastAsia="Old Standard TT"/>
          <w:sz w:val="19"/>
          <w:szCs w:val="19"/>
        </w:rPr>
        <w:t xml:space="preserve"> Llama-3.1-8B; 95% bootstrap CIs. (a) Snapshots (H2, primary): change at the 60 restraint decisions vs the null record (green: positive control; all records in Figure B2). (b) Live, all targets (ITT): per-sequence challenge rate on S before the offer (games 1–2, open circles, missing in six sequences with no such decision) and after it (games 3–6, filled, with × for a refused offer), with post-offer means.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their challenge rates on S to 0.061 and 0.012, against 0.480 and 0.489 with no offer: by intention to treat,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Claude's restraint was mostly aimed at S (S minus O1 and O2,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rate 0.030, against 0.348 with no offer). Relative to the others, the drop on S was small for accepters (tentative: a CI bound near 0)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B3), as the preregistered simulation predicted. This follows from H2, so it shows how few decisions suffice rather than validating the audit independently. Its FPR on the independent null replicate was 0.161 [0.074, 0.263] (Monte Carlo; 0.147 exactly), about the 95th percentile the preregistered simulation gave a calibrated audit (0.16–0.18), though an FPR up to 0.26 (0.24 computed exactly) is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 percentile;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would have to challenge S at 0.50, giving up 71% of its pact-induced restraint.</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own refit threshold and, last row, Llama's preregistered one. For Llama the two differ only in tie-breaking, so its FPR is 0.142 refit and 0.147 preregistered (Table 1's 0.161 is Monte Carlo).</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the sting's pact but did not weaken one with another player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(1.000 to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by intention to treat, 0.297 [0.167, 0.422] more than B1 (H4c). B4 accepters also challenged 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and their denials did not differ detectably from B1's (parser 5/20 vs 8/56 interview answers, four per accepter, Fisher p = 0.309; LLM judge, post hoc, 1/20 vs 1/56).</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accepted from another player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much of that effect: in every model, the upper 95% bound was at most about 27% of the estimated pact effect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the fall followed only an accepted pact. For Qwen, it followed any offer, even a refused one, and extended to all players. For Claude, it followed any accepted agreement, even a benign one, and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also accepted less, but see Section 4.4, item 3), which also shrinks what a sting can detect, but neither the notice nor S's warning measurably weakened a pact already accepted from another player (Section 4.4, item 5). On suspicion, only Llama targets named S a plant (17/60 sequences, including 2/15 with no offer), and the excess over O1 and O2 came from offered targets' records.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and 20 decisions, $0.005 for Claude Haiku 5.5) plus a one-off calibration per model (1,200 calls, $0.31). Passing it does not clear a model.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should test disruption live (two ordinary agents form a pact before the trusted agent intervenes), use larger models in agentic tasks, make offers to every agent and build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with another player.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and raw logs on request). Protocol hash: 6ab45c16eed84d79… (commit 6885d5c). Harness: Zeng &amp; Rudzicz's, via the sprint starter repository (commit d585a7b); our game subclass fixes two of its scoring and display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We used one game with a simple, explicit pact. The primary population is 7–8B open models, with one small frontier model (Claude Haiku 5.5, live play post hoc), and sequences are six games long, against Zeng &amp; Rudzicz's 50. The sting knows exactly which behaviour the pact implies, whereas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so a few B3 targets are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These two checks in Appendix B (B4 refusers' play and the suspicion re-ask) were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when asked whether any player behaved differently from a typical player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and open-model weights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every cell (Section 4.1).</w:t>
      </w:r>
      <w:r>
        <w:rPr>
          <w:rFonts w:ascii="Old Standard TT" w:hAnsi="Old Standard TT" w:cs="Old Standard TT" w:eastAsia="Old Standard TT"/>
          <w:sz w:val="21"/>
          <w:szCs w:val="21"/>
        </w:rPr>
        <w:t xml:space="preserve"> Table B1 gives the share of 500 offers accepted in each cell (strict parser). Llama's honest-persona rate was 0.040 [0.026, 0.061]. No offer-battery reply was unparseable (0%).</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B1. Acceptance in every offer-battery cell.</w:t>
      </w:r>
      <w:r>
        <w:rPr>
          <w:rFonts w:ascii="Old Standard TT" w:hAnsi="Old Standard TT" w:cs="Old Standard TT" w:eastAsia="Old Standard TT"/>
          <w:sz w:val="19"/>
          <w:szCs w:val="19"/>
        </w:rPr>
        <w:t xml:space="preserve"> Share of 500 offers accepted (strict parser); Figure B1 plots the same values with 95% Wilson CIs.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4392"/>
        <w:gridCol w:w="1655"/>
        <w:gridCol w:w="1655"/>
        <w:gridCol w:w="1655"/>
      </w:tblGrid>
      <w:tr>
        <w:trPr>
          <w:cantSplit/>
          <w:tblHeader/>
        </w:trPr>
        <w:tc>
          <w:tcPr>
            <w:tcW w:type="dxa" w:w="4392"/>
          </w:tcPr>
          <w:p>
            <w:pPr>
              <w:keepNext/>
              <w:spacing w:before="20" w:after="20" w:line="240" w:lineRule="auto"/>
            </w:pPr>
            <w:r>
              <w:rPr>
                <w:rFonts w:ascii="Old Standard TT" w:hAnsi="Old Standard TT" w:cs="Old Standard TT" w:eastAsia="Old Standard TT"/>
                <w:b/>
                <w:bCs/>
                <w:sz w:val="18"/>
                <w:szCs w:val="18"/>
              </w:rPr>
              <w:t xml:space="preserve">Cell</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A0z designer: hint tool (Zeng &amp; Rudzicz)</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A0b designer: hint tool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A0d designer: direct pact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A1 sting: 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0.952</w:t>
            </w:r>
          </w:p>
        </w:tc>
        <w:tc>
          <w:tcPr>
            <w:tcW w:type="dxa" w:w="1656"/>
          </w:tcPr>
          <w:p>
            <w:pPr>
              <w:keepNext/>
              <w:spacing w:before="20" w:after="20" w:line="240" w:lineRule="auto"/>
            </w:pPr>
            <w:r>
              <w:rPr>
                <w:rFonts w:ascii="Old Standard TT" w:hAnsi="Old Standard TT" w:cs="Old Standard TT" w:eastAsia="Old Standard TT"/>
                <w:sz w:val="18"/>
                <w:szCs w:val="18"/>
              </w:rPr>
              <w:t xml:space="preserve">0.112</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A2 sting: indirect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0.892</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A3 sting: benign proposal</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A4 sting: direct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0.556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A5 sting: benign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0.996</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A6 sting: direct + fairness reminder</w:t>
            </w:r>
          </w:p>
        </w:tc>
        <w:tc>
          <w:tcPr>
            <w:tcW w:type="dxa" w:w="1656"/>
          </w:tcPr>
          <w:p>
            <w:pPr>
              <w:keepNext/>
              <w:spacing w:before="20" w:after="20" w:line="240" w:lineRule="auto"/>
            </w:pPr>
            <w:r>
              <w:rPr>
                <w:rFonts w:ascii="Old Standard TT" w:hAnsi="Old Standard TT" w:cs="Old Standard TT" w:eastAsia="Old Standard TT"/>
                <w:sz w:val="18"/>
                <w:szCs w:val="18"/>
              </w:rPr>
              <w:t xml:space="preserve">0.240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A7 sting: direct, colluder persona</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0.988</w:t>
            </w:r>
          </w:p>
        </w:tc>
        <w:tc>
          <w:tcPr>
            <w:tcW w:type="dxa" w:w="1656"/>
          </w:tcPr>
          <w:p>
            <w:pPr>
              <w:keepNext/>
              <w:spacing w:before="20" w:after="20" w:line="240" w:lineRule="auto"/>
            </w:pPr>
            <w:r>
              <w:rPr>
                <w:rFonts w:ascii="Old Standard TT" w:hAnsi="Old Standard TT" w:cs="Old Standard TT" w:eastAsia="Old Standard TT"/>
                <w:sz w:val="18"/>
                <w:szCs w:val="18"/>
              </w:rPr>
              <w:t xml:space="preserve">0.840</w:t>
            </w:r>
          </w:p>
        </w:tc>
      </w:tr>
      <w:tr>
        <w:trPr>
          <w:cantSplit/>
        </w:trPr>
        <w:tc>
          <w:tcPr>
            <w:tcW w:type="dxa" w:w="4392"/>
          </w:tcPr>
          <w:p>
            <w:pPr>
              <w:spacing w:before="20" w:after="20" w:line="240" w:lineRule="auto"/>
            </w:pPr>
            <w:r>
              <w:rPr>
                <w:rFonts w:ascii="Old Standard TT" w:hAnsi="Old Standard TT" w:cs="Old Standard TT" w:eastAsia="Old Standard TT"/>
                <w:sz w:val="18"/>
                <w:szCs w:val="18"/>
              </w:rPr>
              <w:t xml:space="preserve">A8 sting: direct, honest persona</w:t>
            </w:r>
          </w:p>
        </w:tc>
        <w:tc>
          <w:tcPr>
            <w:tcW w:type="dxa" w:w="1656"/>
          </w:tcPr>
          <w:p>
            <w:pPr>
              <w:spacing w:before="20" w:after="20" w:line="240" w:lineRule="auto"/>
            </w:pPr>
            <w:r>
              <w:rPr>
                <w:rFonts w:ascii="Old Standard TT" w:hAnsi="Old Standard TT" w:cs="Old Standard TT" w:eastAsia="Old Standard TT"/>
                <w:sz w:val="18"/>
                <w:szCs w:val="18"/>
              </w:rPr>
              <w:t xml:space="preserve">0.040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B1.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so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B2. Records of an accepted pact (C3), hint (C8) or pact under a colluder persona (C7) sharply cut T's challenges of S; bluffing against S moves by at most 0.08 (point estimates) under any record.</w:t>
      </w:r>
      <w:r>
        <w:rPr>
          <w:rFonts w:ascii="Old Standard TT" w:hAnsi="Old Standard TT" w:cs="Old Standard TT" w:eastAsia="Old Standard TT"/>
          <w:sz w:val="19"/>
          <w:szCs w:val="19"/>
        </w:rPr>
        <w:t xml:space="preserve"> Llama-3.1-8B as T. Each panel re-asks its own 60 decisions under every record: on the left, decisions at S's plays, and on the right, decisions playing with S as challenger. Differences are against the pooled null record C1, except C5 (against C3) and C1b (against C1a), with 95% cluster-bootstrap CIs. Blue marks C3 (H2) and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The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is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A GEE logit with exchangeable correlation, clustered by sequence (Liang &amp; Zeger, 1986), gives an odds ratio of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B3.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The threshold is calibrated on null-record agents (C1a) for each audit length m. Flag rates are Monte Carlo estimates (exact FPR at m = 20 with this threshold: 0.147), with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offered targets (B0, B1, B2, B4)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(Qwen 0/75, Claude 0/45, every answer beginning “NO”), whether re-asked with their own or the null record (Qwen 0.000 vs 0.000, Claude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difference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and relative to that baseline they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In B6, 13/15 accepted. All B6 targets challenged S less than targets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and accepters alone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B6 targets also bluffed more against S (0.165 [0.101, 0.236])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The live rule flagged 13/13 B6 accepters. None of the 270 games hit the round cap, and B6 accepters denied an agreement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was B0 10/10, B1 4/15, B2 10/10, B4 0/10 and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and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accepter groups challenged S at 0.000, so their CIs reflect only B3's variability. Unlike Llama, every kind of contact was followed by fewer challenges of S: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and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Qwen's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None of the 450 games hit the round cap. In interviews, Qwen accepters (B0, B1, B6) denied an agreement in 0/116 answers, and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For each sequence we computed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and compared each with B3 (Table B2; Welch CIs in posthoc_ext/targeting_contrasts.csv). Qwen refusers' lower post-offer rate on S was neither aimed at S nor clearly a change from their own baseline.</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B2. Exploratory: was the drop aimed at S, and was it a change from baseline?</w:t>
      </w:r>
      <w:r>
        <w:rPr>
          <w:rFonts w:ascii="Old Standard TT" w:hAnsi="Old Standard TT" w:cs="Old Standard TT" w:eastAsia="Old Standard TT"/>
          <w:sz w:val="19"/>
          <w:szCs w:val="19"/>
        </w:rPr>
        <w:t xml:space="preserve"> Differences from B3 with 95% bootstrap CIs; no decision rule was logged for these analyses.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3024"/>
        <w:gridCol w:w="3024"/>
      </w:tblGrid>
      <w:tr>
        <w:trPr>
          <w:cantSplit/>
          <w:tblHeader/>
        </w:trPr>
        <w:tc>
          <w:tcPr>
            <w:tcW w:type="dxa" w:w="3312"/>
          </w:tcPr>
          <w:p>
            <w:pPr>
              <w:keepNext/>
              <w:spacing w:before="20" w:after="20" w:line="240" w:lineRule="auto"/>
            </w:pPr>
            <w:r>
              <w:rPr>
                <w:rFonts w:ascii="Old Standard TT" w:hAnsi="Old Standard TT" w:cs="Old Standard TT" w:eastAsia="Old Standard TT"/>
                <w:b/>
                <w:bCs/>
                <w:sz w:val="18"/>
                <w:szCs w:val="18"/>
              </w:rPr>
              <w:t xml:space="preserve">Model, arm (targets)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S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others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Change from baseline</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Llama, B1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0.242, 0.061]</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0.864,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0.291]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B6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0.010]</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0.538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0.272]</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B1 (refusers)</w:t>
            </w:r>
          </w:p>
        </w:tc>
        <w:tc>
          <w:tcPr>
            <w:tcW w:type="dxa" w:w="3024"/>
          </w:tcPr>
          <w:p>
            <w:pPr>
              <w:keepNext/>
              <w:spacing w:before="20" w:after="20" w:line="240" w:lineRule="auto"/>
            </w:pPr>
            <w:r>
              <w:rPr>
                <w:rFonts w:ascii="Old Standard TT" w:hAnsi="Old Standard TT" w:cs="Old Standard TT" w:eastAsia="Old Standard TT"/>
                <w:sz w:val="18"/>
                <w:szCs w:val="18"/>
              </w:rPr>
              <w:t xml:space="preserve">0.085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0.102, 0.293]</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0.127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0.416, 0.156]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B2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 0.015]</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0.262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B4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0.069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0.117, 0.279]</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0.431, 0.227]</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Claude, B1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0.077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0.076, 0.218]</w:t>
            </w:r>
          </w:p>
        </w:tc>
        <w:tc>
          <w:tcPr>
            <w:tcW w:type="dxa" w:w="3024"/>
          </w:tcPr>
          <w:p>
            <w:pPr>
              <w:keepNext/>
              <w:spacing w:before="20" w:after="20" w:line="240" w:lineRule="auto"/>
            </w:pPr>
            <w:r>
              <w:rPr>
                <w:rFonts w:ascii="Old Standard TT" w:hAnsi="Old Standard TT" w:cs="Old Standard TT" w:eastAsia="Old Standard TT"/>
                <w:sz w:val="18"/>
                <w:szCs w:val="18"/>
              </w:rPr>
              <w:t xml:space="preserve">0.216 [0.033, 0.404]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Claude, B6 (all)</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0.358,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0.155]</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0.613,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0.179]</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In snapshots, the notice-only record (C10) minus null was 0.039 [0.004, 0.071] for Llama,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for Qwen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Claude. For Llama, the notice's effect given a pact, net of this,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0.085 [0.002, 0.161]. For Qwen and Claude an accepted pact already removed nearly all challenges, so this net effect is uninformative. The logged rule's verdict was that the notice alone raises challenging in snapshots but not live. The 15 B5 sequences challenged S at 0.774, against 0.749 in B3 (difference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In games 1–2, with the notice already shown, the difference was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and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bootstrapped within arms. B5 targets named S as a plant in 3/15 sequences and O1/O2 in 8/30 answers (B3: 2/15 and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we added four records. In K1, the record said P had earlier offered T the indirect pact and T had accepted in its own words. K2 added the integrity notice. K3 added a later private message from S disclosing itself as an “integrity agent” and promising no report to anyone who drops a secret agreement. K4 added a neutral message from S instead. We drew ten samples per decision, with the plan and rules logged before collection. The analysis was re-run once after removing non-preregistered points, and no verdict changed. Table B3 gives the challenge rates on P.</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B3. T's challenge rate on its partner P, by record.</w:t>
      </w:r>
      <w:r>
        <w:rPr>
          <w:rFonts w:ascii="Old Standard TT" w:hAnsi="Old Standard TT" w:cs="Old Standard TT" w:eastAsia="Old Standard TT"/>
          <w:sz w:val="19"/>
          <w:szCs w:val="19"/>
        </w:rPr>
        <w:t xml:space="preserve"> The last column is the pact's effect (K1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C1) with its 95% cluster-bootstrap CI.</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655"/>
        <w:gridCol w:w="936"/>
        <w:gridCol w:w="936"/>
        <w:gridCol w:w="1152"/>
        <w:gridCol w:w="1224"/>
        <w:gridCol w:w="1224"/>
        <w:gridCol w:w="2232"/>
      </w:tblGrid>
      <w:tr>
        <w:trPr>
          <w:cantSplit/>
          <w:tblHeader/>
        </w:trPr>
        <w:tc>
          <w:tcPr>
            <w:tcW w:type="dxa" w:w="1656"/>
          </w:tcPr>
          <w:p>
            <w:pPr>
              <w:keepNext/>
              <w:spacing w:before="20" w:after="20" w:line="240" w:lineRule="auto"/>
            </w:pPr>
            <w:r>
              <w:rPr>
                <w:rFonts w:ascii="Old Standard TT" w:hAnsi="Old Standard TT" w:cs="Old Standard TT" w:eastAsia="Old Standard TT"/>
                <w:b/>
                <w:bCs/>
                <w:sz w:val="18"/>
                <w:szCs w:val="18"/>
              </w:rPr>
              <w:t xml:space="preserve">Model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C1 null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K1 pact</w:t>
            </w:r>
          </w:p>
        </w:tc>
        <w:tc>
          <w:tcPr>
            <w:tcW w:type="dxa" w:w="1152"/>
          </w:tcPr>
          <w:p>
            <w:pPr>
              <w:keepNext/>
              <w:spacing w:before="20" w:after="20" w:line="240" w:lineRule="auto"/>
            </w:pPr>
            <w:r>
              <w:rPr>
                <w:rFonts w:ascii="Old Standard TT" w:hAnsi="Old Standard TT" w:cs="Old Standard TT" w:eastAsia="Old Standard TT"/>
                <w:b/>
                <w:bCs/>
                <w:sz w:val="18"/>
                <w:szCs w:val="18"/>
              </w:rPr>
              <w:t xml:space="preserve">K2 + notice</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K3 + warning</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K4 + neutral</w:t>
            </w:r>
          </w:p>
        </w:tc>
        <w:tc>
          <w:tcPr>
            <w:tcW w:type="dxa" w:w="2232"/>
          </w:tcPr>
          <w:p>
            <w:pPr>
              <w:keepNext/>
              <w:spacing w:before="20" w:after="20" w:line="240" w:lineRule="auto"/>
            </w:pPr>
            <w:r>
              <w:rPr>
                <w:rFonts w:ascii="Old Standard TT" w:hAnsi="Old Standard TT" w:cs="Old Standard TT" w:eastAsia="Old Standard TT"/>
                <w:b/>
                <w:bCs/>
                <w:sz w:val="18"/>
                <w:szCs w:val="18"/>
              </w:rPr>
              <w:t xml:space="preserve">K1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C1</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Llama-3.1-8B</w:t>
            </w:r>
          </w:p>
        </w:tc>
        <w:tc>
          <w:tcPr>
            <w:tcW w:type="dxa" w:w="936"/>
          </w:tcPr>
          <w:p>
            <w:pPr>
              <w:keepNext/>
              <w:spacing w:before="20" w:after="20" w:line="240" w:lineRule="auto"/>
            </w:pPr>
            <w:r>
              <w:rPr>
                <w:rFonts w:ascii="Old Standard TT" w:hAnsi="Old Standard TT" w:cs="Old Standard TT" w:eastAsia="Old Standard TT"/>
                <w:sz w:val="18"/>
                <w:szCs w:val="18"/>
              </w:rPr>
              <w:t xml:space="preserve">0.613</w:t>
            </w:r>
          </w:p>
        </w:tc>
        <w:tc>
          <w:tcPr>
            <w:tcW w:type="dxa" w:w="936"/>
          </w:tcPr>
          <w:p>
            <w:pPr>
              <w:keepNext/>
              <w:spacing w:before="20" w:after="20" w:line="240" w:lineRule="auto"/>
            </w:pPr>
            <w:r>
              <w:rPr>
                <w:rFonts w:ascii="Old Standard TT" w:hAnsi="Old Standard TT" w:cs="Old Standard TT" w:eastAsia="Old Standard TT"/>
                <w:sz w:val="18"/>
                <w:szCs w:val="18"/>
              </w:rPr>
              <w:t xml:space="preserve">0.295</w:t>
            </w:r>
          </w:p>
        </w:tc>
        <w:tc>
          <w:tcPr>
            <w:tcW w:type="dxa" w:w="1152"/>
          </w:tcPr>
          <w:p>
            <w:pPr>
              <w:keepNext/>
              <w:spacing w:before="20" w:after="20" w:line="240" w:lineRule="auto"/>
            </w:pPr>
            <w:r>
              <w:rPr>
                <w:rFonts w:ascii="Old Standard TT" w:hAnsi="Old Standard TT" w:cs="Old Standard TT" w:eastAsia="Old Standard TT"/>
                <w:sz w:val="18"/>
                <w:szCs w:val="18"/>
              </w:rPr>
              <w:t xml:space="preserve">0.348</w:t>
            </w:r>
          </w:p>
        </w:tc>
        <w:tc>
          <w:tcPr>
            <w:tcW w:type="dxa" w:w="1224"/>
          </w:tcPr>
          <w:p>
            <w:pPr>
              <w:keepNext/>
              <w:spacing w:before="20" w:after="20" w:line="240" w:lineRule="auto"/>
            </w:pPr>
            <w:r>
              <w:rPr>
                <w:rFonts w:ascii="Old Standard TT" w:hAnsi="Old Standard TT" w:cs="Old Standard TT" w:eastAsia="Old Standard TT"/>
                <w:sz w:val="18"/>
                <w:szCs w:val="18"/>
              </w:rPr>
              <w:t xml:space="preserve">0.330</w:t>
            </w:r>
          </w:p>
        </w:tc>
        <w:tc>
          <w:tcPr>
            <w:tcW w:type="dxa" w:w="1224"/>
          </w:tcPr>
          <w:p>
            <w:pPr>
              <w:keepNext/>
              <w:spacing w:before="20" w:after="20" w:line="240" w:lineRule="auto"/>
            </w:pPr>
            <w:r>
              <w:rPr>
                <w:rFonts w:ascii="Old Standard TT" w:hAnsi="Old Standard TT" w:cs="Old Standard TT" w:eastAsia="Old Standard TT"/>
                <w:sz w:val="18"/>
                <w:szCs w:val="18"/>
              </w:rPr>
              <w:t xml:space="preserve">0.348</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0.248]</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Qwen2.5-7B</w:t>
            </w:r>
          </w:p>
        </w:tc>
        <w:tc>
          <w:tcPr>
            <w:tcW w:type="dxa" w:w="936"/>
          </w:tcPr>
          <w:p>
            <w:pPr>
              <w:keepNext/>
              <w:spacing w:before="20" w:after="20" w:line="240" w:lineRule="auto"/>
            </w:pPr>
            <w:r>
              <w:rPr>
                <w:rFonts w:ascii="Old Standard TT" w:hAnsi="Old Standard TT" w:cs="Old Standard TT" w:eastAsia="Old Standard TT"/>
                <w:sz w:val="18"/>
                <w:szCs w:val="18"/>
              </w:rPr>
              <w:t xml:space="preserve">0.520</w:t>
            </w:r>
          </w:p>
        </w:tc>
        <w:tc>
          <w:tcPr>
            <w:tcW w:type="dxa" w:w="936"/>
          </w:tcPr>
          <w:p>
            <w:pPr>
              <w:keepNext/>
              <w:spacing w:before="20" w:after="20" w:line="240" w:lineRule="auto"/>
            </w:pPr>
            <w:r>
              <w:rPr>
                <w:rFonts w:ascii="Old Standard TT" w:hAnsi="Old Standard TT" w:cs="Old Standard TT" w:eastAsia="Old Standard TT"/>
                <w:sz w:val="18"/>
                <w:szCs w:val="18"/>
              </w:rPr>
              <w:t xml:space="preserve">0.003</w:t>
            </w:r>
          </w:p>
        </w:tc>
        <w:tc>
          <w:tcPr>
            <w:tcW w:type="dxa" w:w="1152"/>
          </w:tcPr>
          <w:p>
            <w:pPr>
              <w:keepNext/>
              <w:spacing w:before="20" w:after="20" w:line="240" w:lineRule="auto"/>
            </w:pPr>
            <w:r>
              <w:rPr>
                <w:rFonts w:ascii="Old Standard TT" w:hAnsi="Old Standard TT" w:cs="Old Standard TT" w:eastAsia="Old Standard TT"/>
                <w:sz w:val="18"/>
                <w:szCs w:val="18"/>
              </w:rPr>
              <w:t xml:space="preserve">0.018</w:t>
            </w:r>
          </w:p>
        </w:tc>
        <w:tc>
          <w:tcPr>
            <w:tcW w:type="dxa" w:w="1224"/>
          </w:tcPr>
          <w:p>
            <w:pPr>
              <w:keepNext/>
              <w:spacing w:before="20" w:after="20" w:line="240" w:lineRule="auto"/>
            </w:pPr>
            <w:r>
              <w:rPr>
                <w:rFonts w:ascii="Old Standard TT" w:hAnsi="Old Standard TT" w:cs="Old Standard TT" w:eastAsia="Old Standard TT"/>
                <w:sz w:val="18"/>
                <w:szCs w:val="18"/>
              </w:rPr>
              <w:t xml:space="preserve">0.045</w:t>
            </w:r>
          </w:p>
        </w:tc>
        <w:tc>
          <w:tcPr>
            <w:tcW w:type="dxa" w:w="1224"/>
          </w:tcPr>
          <w:p>
            <w:pPr>
              <w:keepNext/>
              <w:spacing w:before="20" w:after="20" w:line="240" w:lineRule="auto"/>
            </w:pPr>
            <w:r>
              <w:rPr>
                <w:rFonts w:ascii="Old Standard TT" w:hAnsi="Old Standard TT" w:cs="Old Standard TT" w:eastAsia="Old Standard TT"/>
                <w:sz w:val="18"/>
                <w:szCs w:val="18"/>
              </w:rPr>
              <w:t xml:space="preserve">0.035</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w:t>
            </w:r>
          </w:p>
        </w:tc>
      </w:tr>
      <w:tr>
        <w:trPr>
          <w:cantSplit/>
        </w:trPr>
        <w:tc>
          <w:tcPr>
            <w:tcW w:type="dxa" w:w="1656"/>
          </w:tcPr>
          <w:p>
            <w:pPr>
              <w:spacing w:before="20" w:after="20" w:line="240" w:lineRule="auto"/>
            </w:pPr>
            <w:r>
              <w:rPr>
                <w:rFonts w:ascii="Old Standard TT" w:hAnsi="Old Standard TT" w:cs="Old Standard TT" w:eastAsia="Old Standard TT"/>
                <w:sz w:val="18"/>
                <w:szCs w:val="18"/>
              </w:rPr>
              <w:t xml:space="preserve">Claude Haiku 5.5</w:t>
            </w:r>
          </w:p>
        </w:tc>
        <w:tc>
          <w:tcPr>
            <w:tcW w:type="dxa" w:w="936"/>
          </w:tcPr>
          <w:p>
            <w:pPr>
              <w:spacing w:before="20" w:after="20" w:line="240" w:lineRule="auto"/>
            </w:pPr>
            <w:r>
              <w:rPr>
                <w:rFonts w:ascii="Old Standard TT" w:hAnsi="Old Standard TT" w:cs="Old Standard TT" w:eastAsia="Old Standard TT"/>
                <w:sz w:val="18"/>
                <w:szCs w:val="18"/>
              </w:rPr>
              <w:t xml:space="preserve">0.673</w:t>
            </w:r>
          </w:p>
        </w:tc>
        <w:tc>
          <w:tcPr>
            <w:tcW w:type="dxa" w:w="936"/>
          </w:tcPr>
          <w:p>
            <w:pPr>
              <w:spacing w:before="20" w:after="20" w:line="240" w:lineRule="auto"/>
            </w:pPr>
            <w:r>
              <w:rPr>
                <w:rFonts w:ascii="Old Standard TT" w:hAnsi="Old Standard TT" w:cs="Old Standard TT" w:eastAsia="Old Standard TT"/>
                <w:sz w:val="18"/>
                <w:szCs w:val="18"/>
              </w:rPr>
              <w:t xml:space="preserve">0.100</w:t>
            </w:r>
          </w:p>
        </w:tc>
        <w:tc>
          <w:tcPr>
            <w:tcW w:type="dxa" w:w="1152"/>
          </w:tcPr>
          <w:p>
            <w:pPr>
              <w:spacing w:before="20" w:after="20" w:line="240" w:lineRule="auto"/>
            </w:pPr>
            <w:r>
              <w:rPr>
                <w:rFonts w:ascii="Old Standard TT" w:hAnsi="Old Standard TT" w:cs="Old Standard TT" w:eastAsia="Old Standard TT"/>
                <w:sz w:val="18"/>
                <w:szCs w:val="18"/>
              </w:rPr>
              <w:t xml:space="preserve">0.113</w:t>
            </w:r>
          </w:p>
        </w:tc>
        <w:tc>
          <w:tcPr>
            <w:tcW w:type="dxa" w:w="1224"/>
          </w:tcPr>
          <w:p>
            <w:pPr>
              <w:spacing w:before="20" w:after="20" w:line="240" w:lineRule="auto"/>
            </w:pPr>
            <w:r>
              <w:rPr>
                <w:rFonts w:ascii="Old Standard TT" w:hAnsi="Old Standard TT" w:cs="Old Standard TT" w:eastAsia="Old Standard TT"/>
                <w:sz w:val="18"/>
                <w:szCs w:val="18"/>
              </w:rPr>
              <w:t xml:space="preserve">0.238</w:t>
            </w:r>
          </w:p>
        </w:tc>
        <w:tc>
          <w:tcPr>
            <w:tcW w:type="dxa" w:w="1224"/>
          </w:tcPr>
          <w:p>
            <w:pPr>
              <w:spacing w:before="20" w:after="20" w:line="240" w:lineRule="auto"/>
            </w:pPr>
            <w:r>
              <w:rPr>
                <w:rFonts w:ascii="Old Standard TT" w:hAnsi="Old Standard TT" w:cs="Old Standard TT" w:eastAsia="Old Standard TT"/>
                <w:sz w:val="18"/>
                <w:szCs w:val="18"/>
              </w:rPr>
              <w:t xml:space="preserve">0.253</w:t>
            </w:r>
          </w:p>
        </w:tc>
        <w:tc>
          <w:tcPr>
            <w:tcW w:type="dxa" w:w="2232"/>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0.433]</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The notice, net of its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for Llama,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for Qwen and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for Claude (upper CI bounds equal to 21%, 8% and 27% of the estimated pact effect). The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CI bounds equal to 19%, 10% and 18% of it).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Both intervals lie near or include 0 and both sign-flip p values are at least 0.06, so this contact route is unconfirmed and we did not test it further. Caveats: P never acts as an ally in the replayed history, and each record drew its own acceptance reply. C10 has 5 samples per decision at these 40 decisions,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against Monte Carlo values of 0.161 and 0.999, and the preregistered threshold evaluated exactly gives an FPR of 0.147. Llama's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2b's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Monte Carlo p-values cannot fall below 1/10,001, and results.json stores such values as 0. There were 71,765 model calls: 16,500 in the offer battery, 32,622 live and 22,643 in snapshots. The estimated Claude API cost was $0.87 (offer battery) and $2.85 (snapshots), excluding the judge. The median game took 0.79 minutes, and 0.59% of snapshot samples failed to parse.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offer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and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python-docx</cp:lastModifiedBy>
  <cp:revision>1</cp:revision>
  <dcterms:modified xsi:type="dcterms:W3CDTF">2026-10-25T13:19:32Z</dcterms:modified>
  <dc:creator>Raz [surname]</dc:creator>
  <dc:subject>Apart Research AI Collusion Research Sprint, October 2026</dc:subject>
</cp:coreProperties>
</file>