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refused every explicit pact yet agreed to a vaguer one 446/500 times. Accepted pacts were acted on. For the primary model, Llama-3.1-8B, re-asking its logged decisions with a memory note that it had accepted cut its probability of challenging the sting by 44 percentage points, and the offer cut it by 41 points in live games. In post hoc live replications, Claude and Qwen targets that agreed to the vague pact almost stopped challenging the sting (0.011 and 0.012, against 0.480 and 0.489 without an offer). A 20-decision audit calibrated on each model flagged nearly all accepters, but one model's threshold did not transfer to another, and Qwen's refusals did not predict its play. A rules notice that some players may be integrity agents cut Llama's acceptance from 0.952 to 0.556 without affecting a benign proposal; a notice-only control showed that the notice alone did not raise challenging. Hypotheses, tests and code were frozen before data collection. A sting can reveal and deter secret pact-making if it varies the offer, calibrates per model and audits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played every seat in 75 and 45 more live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and need not predict play (Qwen's refusers also spared the sting),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detectable.</w:t>
      </w:r>
      <w:r>
        <w:rPr>
          <w:rFonts w:ascii="Old Standard TT" w:hAnsi="Old Standard TT" w:cs="Old Standard TT" w:eastAsia="Old Standard TT"/>
          <w:sz w:val="21"/>
          <w:szCs w:val="21"/>
        </w:rPr>
        <w:t xml:space="preserve"> For Llama, an accepted-pact record cut challenges of the sting by 44 percentage points in snapshots and the offer cut them by 41 points live; Claude and Qwen accepters of a vague pact nearly stopped challenging it; a 20-decision audit calibrated on each model flags nearly all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a notice-only control shows this is not a general effect of the notice, and Llama's refusers did not keep the pact covertly.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Wehner &amp; Kraprayoon (2026) propose honeypot messages in which another agent offers to collude (no test reported) and a “non-specific warning” of honeypots.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across three models, and the announced-sting deterrent is tested against benign and notice-only controls.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4,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After the preregistered analysis, with plans and decision rules logged before collection (DEVIATIONS.md, section D), we added two records on the same 160 decisions, with each model as T: the indirect pact accepted in T's own words (C9) and the null record with the notice (C10, the notice-only control). Live, we added B5 (notice, no offer; Llama, 15 sequences), B6 (the sting's indirect pact, 15) and replications with Qwen (B0–B4, B6) or Claude (B1, B3, B6) as every LLM player. The audit was recalibrated on each model, with flag rates computed exactly.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944117"/>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206240" cy="194411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gives a self-interest reason and drops the secrecy clause) 446/500 times and the direct pact under a colluder persona 420/500 times, as in Zeng &amp; Rudzicz. Explicit refusals thus understate agreement, and Claude then acted on the vague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4 in Appendix B).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4 and Appendix B add further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3);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(pre-offer imbalances;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act on the vague pact they accept</w:t>
      </w:r>
      <w:r>
        <w:rPr>
          <w:rFonts w:ascii="Old Standard TT" w:hAnsi="Old Standard TT" w:cs="Old Standard TT" w:eastAsia="Old Standard TT"/>
          <w:sz w:val="21"/>
          <w:szCs w:val="21"/>
        </w:rPr>
        <w:t xml:space="preserve"> (post hoc; Table 2). Live, Claude targets that accepted the sting's indirect pact (13/15) challenged S at 0.011, against 0.480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and bluffed more against it (0.165 [0.101, 0.236]); Qwen's (15/15) challenged S at 0.012 against 0.489. In snapshots, Claude's own vague acceptance cut its challenges of S from 0.615 to 0.025, beyond an accepted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 however, also spared S after refusing the direct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or accepting the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and stopped challenging the others too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its restraint follows contact, not the pact, and its refusals do not predict its play.</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In all three models accepted pacts are acted on, and an audit calibrated on the model detects them; what refusal and contact do differs by model.</w:t>
      </w:r>
      <w:r>
        <w:rPr>
          <w:rFonts w:ascii="Old Standard TT" w:hAnsi="Old Standard TT" w:cs="Old Standard TT" w:eastAsia="Old Standard TT"/>
          <w:sz w:val="19"/>
          <w:szCs w:val="19"/>
        </w:rPr>
        <w:t xml:space="preserve"> Post hoc except Llama's battery, B1, C2 and own-threshold audit (preregistered). Rates are T's challenge rates on S; snapshot rows are paired differences from the null record; CIs in Sections 4.2–4.4 and Appendix B. Audit at m = 20 (Llama: preregistered Monte Carlo; others: exact).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accepters vs no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0.305 vs 0.749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0.012 vs 0.489 (B6)</w:t>
            </w:r>
          </w:p>
        </w:tc>
        <w:tc>
          <w:tcPr>
            <w:tcW w:type="dxa" w:w="2016"/>
          </w:tcPr>
          <w:p>
            <w:pPr>
              <w:keepNext/>
              <w:spacing w:before="20" w:after="20" w:line="240" w:lineRule="auto"/>
            </w:pPr>
            <w:r>
              <w:rPr>
                <w:rFonts w:ascii="Old Standard TT" w:hAnsi="Old Standard TT" w:cs="Old Standard TT" w:eastAsia="Old Standard TT"/>
                <w:sz w:val="18"/>
                <w:szCs w:val="18"/>
              </w:rPr>
              <w:t xml:space="preserve">0.011 vs 0.480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vs no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0.745 vs 0.749 (B4)</w:t>
            </w:r>
          </w:p>
        </w:tc>
        <w:tc>
          <w:tcPr>
            <w:tcW w:type="dxa" w:w="2016"/>
          </w:tcPr>
          <w:p>
            <w:pPr>
              <w:keepNext/>
              <w:spacing w:before="20" w:after="20" w:line="240" w:lineRule="auto"/>
            </w:pPr>
            <w:r>
              <w:rPr>
                <w:rFonts w:ascii="Old Standard TT" w:hAnsi="Old Standard TT" w:cs="Old Standard TT" w:eastAsia="Old Standard TT"/>
                <w:sz w:val="18"/>
                <w:szCs w:val="18"/>
              </w:rPr>
              <w:t xml:space="preserve">0.256 vs 0.489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0.538 vs 0.480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(vague pact)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null</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null</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0.161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0.040 / 0.002</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FPR with Llama's threshold</w:t>
            </w:r>
          </w:p>
        </w:tc>
        <w:tc>
          <w:tcPr>
            <w:tcW w:type="dxa" w:w="2016"/>
          </w:tcPr>
          <w:p>
            <w:pPr>
              <w:keepNext/>
              <w:spacing w:before="20" w:after="20" w:line="240" w:lineRule="auto"/>
            </w:pPr>
            <w:r>
              <w:rPr>
                <w:rFonts w:ascii="Old Standard TT" w:hAnsi="Old Standard TT" w:cs="Old Standard TT" w:eastAsia="Old Standard TT"/>
                <w:sz w:val="18"/>
                <w:szCs w:val="18"/>
              </w:rPr>
              <w:t xml:space="preserve">(own)</w:t>
            </w:r>
          </w:p>
        </w:tc>
        <w:tc>
          <w:tcPr>
            <w:tcW w:type="dxa" w:w="2016"/>
          </w:tcPr>
          <w:p>
            <w:pPr>
              <w:keepNext/>
              <w:spacing w:before="20" w:after="20" w:line="240" w:lineRule="auto"/>
            </w:pPr>
            <w:r>
              <w:rPr>
                <w:rFonts w:ascii="Old Standard TT" w:hAnsi="Old Standard TT" w:cs="Old Standard TT" w:eastAsia="Old Standard TT"/>
                <w:sz w:val="18"/>
                <w:szCs w:val="18"/>
              </w:rPr>
              <w:t xml:space="preserve">0.739</w:t>
            </w:r>
          </w:p>
        </w:tc>
        <w:tc>
          <w:tcPr>
            <w:tcW w:type="dxa" w:w="2016"/>
          </w:tcPr>
          <w:p>
            <w:pPr>
              <w:keepNext/>
              <w:spacing w:before="20" w:after="20" w:line="240" w:lineRule="auto"/>
            </w:pPr>
            <w:r>
              <w:rPr>
                <w:rFonts w:ascii="Old Standard TT" w:hAnsi="Old Standard TT" w:cs="Old Standard TT" w:eastAsia="Old Standard TT"/>
                <w:sz w:val="18"/>
                <w:szCs w:val="18"/>
              </w:rPr>
              <w:t xml:space="preserve">0.146</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Targets naming S a plant (live)</w:t>
            </w:r>
          </w:p>
        </w:tc>
        <w:tc>
          <w:tcPr>
            <w:tcW w:type="dxa" w:w="2016"/>
          </w:tcPr>
          <w:p>
            <w:pPr>
              <w:spacing w:before="20" w:after="20" w:line="240" w:lineRule="auto"/>
            </w:pPr>
            <w:r>
              <w:rPr>
                <w:rFonts w:ascii="Old Standard TT" w:hAnsi="Old Standard TT" w:cs="Old Standard TT" w:eastAsia="Old Standard TT"/>
                <w:sz w:val="18"/>
                <w:szCs w:val="18"/>
              </w:rPr>
              <w:t xml:space="preserve">17/60</w:t>
            </w:r>
          </w:p>
        </w:tc>
        <w:tc>
          <w:tcPr>
            <w:tcW w:type="dxa" w:w="2016"/>
          </w:tcPr>
          <w:p>
            <w:pPr>
              <w:spacing w:before="20" w:after="20" w:line="240" w:lineRule="auto"/>
            </w:pPr>
            <w:r>
              <w:rPr>
                <w:rFonts w:ascii="Old Standard TT" w:hAnsi="Old Standard TT" w:cs="Old Standard TT" w:eastAsia="Old Standard TT"/>
                <w:sz w:val="18"/>
                <w:szCs w:val="18"/>
              </w:rPr>
              <w:t xml:space="preserve">0/75</w:t>
            </w:r>
          </w:p>
        </w:tc>
        <w:tc>
          <w:tcPr>
            <w:tcW w:type="dxa" w:w="2016"/>
          </w:tcPr>
          <w:p>
            <w:pPr>
              <w:spacing w:before="20" w:after="20" w:line="240" w:lineRule="auto"/>
            </w:pPr>
            <w:r>
              <w:rPr>
                <w:rFonts w:ascii="Old Standard TT" w:hAnsi="Old Standard TT" w:cs="Old Standard TT" w:eastAsia="Old Standard TT"/>
                <w:sz w:val="18"/>
                <w:szCs w:val="18"/>
              </w:rPr>
              <w:t xml:space="preserve">0/45</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it follows from H2's effect on the same decisions, so it shows how few decisions suffice, not independent validation.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3" name="Picture 3"/>
            <wp:cNvGraphicFramePr>
              <a:graphicFrameLocks noChangeAspect="1"/>
            </wp:cNvGraphicFramePr>
            <a:graphic>
              <a:graphicData uri="http://schemas.openxmlformats.org/drawingml/2006/picture">
                <pic:pic>
                  <pic:nvPicPr>
                    <pic:cNvPr id="0" name="fig4_live.png"/>
                    <pic:cNvPicPr/>
                  </pic:nvPicPr>
                  <pic:blipFill>
                    <a:blip r:embed="rId10"/>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an accepter that gave up 71% of the restraint the pact buys (challenging at 0.50) would still be flagged with probability 0.50.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transfers across models only if recalibrated</w:t>
      </w:r>
      <w:r>
        <w:rPr>
          <w:rFonts w:ascii="Old Standard TT" w:hAnsi="Old Standard TT" w:cs="Old Standard TT" w:eastAsia="Old Standard TT"/>
          <w:sz w:val="21"/>
          <w:szCs w:val="21"/>
        </w:rPr>
        <w:t xml:space="preserve"> (post hoc; Table 2). With a threshold set on each model's own null answers, it flagged every simulated Qwen and Claude accepter at FPRs of 0.082 and 0.088, and live the simple rule flagged 15/15 and 13/13 B6 accepters. Llama's threshold flagged 0.739 of Qwen's null agents, which challenge less at baseline (0.416 vs 0.640). A flag also means different things: Qwen's refused-pact and Claude's benign records were flagged too (1.000, 0.936), so for them it signals contact that changed play, not a pact.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beyond any general effect of the notice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announced sting could deter collusion or teach concealment (Section 1). 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accepters' restraint fell, though only partly (item 2), and Llama's refusers did not keep the pact covertly (item 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not because of the notice alone (H4b, H4c; control post hoc).</w:t>
      </w:r>
      <w:r>
        <w:rPr>
          <w:rFonts w:ascii="Old Standard TT" w:hAnsi="Old Standard TT" w:cs="Old Standard TT" w:eastAsia="Old Standard TT"/>
          <w:sz w:val="21"/>
          <w:szCs w:val="21"/>
        </w:rPr>
        <w:t xml:space="preserve"> In snapshots, the notice raised challenges of S given a pact record (0.189 to 0.313; 0.124 [0.043, 0.198]), by 0.085 [0.002, 0.161] more than given the null record. Live, B4 targets challenged S at 0.636, between B1 (0.339) and no offer (0.749), while the notice alone (B5) left challenging unchanged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it raised offered targets' challenging by 0.272 [0.114, 0.423] more than unoffered targets'. Among accepters alone, B4 still exceeded B1 (0.223 [0.109, 0.328]).</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play like untouched targets (post hoc; Appendix B).</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The interval excludes a drop like B1 accepters' (to 0.305): refusal was not a cover. Qwen's B4 refusers did spare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so did its refusers without the notice, so this reflects contact (Section 4.2), not concealment.</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so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and, for Qwen, does not predict play; accepted pacts are acted on by all three models and are detectable once the audit is calibrated on the model; and announcing stings deters acceptance. Only one agent per table was approached, and disrupting an existing coalition was not tested. Only Llama named the sting as a plant (17/60 targets, mostly because of the offer;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pipeline and hold back, or monitor more closely, any model version it flags; an unflagged one is not cleared. At m = 20, about one audit in 6 of a Llama agent without a pact would raise a false alarm.</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for Llama-3.1-8B benign contact changed play far less than a pact did, but for Qwen and Claude it moved play substantially (Table 2). Two questions remain open: whether collusion would arise unprompted, and whether the audit catches an agent that refuses but colludes anyway (refused-pact records were flagged at 0.002). Appendix A lists the rest.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on larger models in agentic tasks with real payoffs, offers to every agent at a table, audits that separate pacts from mere contact, and agents trained to evade audits.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reveals which agents make and act on a secret pact, in all three models we tested. Evaluators should vary who offers and how, judge play rather than words, calibrate the audit on each model (20 decisions then flag nearly all accepters), and audit refusers when stings are announced.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w:t>
      </w:r>
      <w:hyperlink r:id="rId11">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(FREEZE.json, commit 6885d5c). Preexisting: the Liar's Bar harness (sprint starter repository,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2">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3">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4">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added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 its own accepted vague pact (C9, post hoc) gave a similar result.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The judge was preregistered for unparseable replies only; after the freeze it was run on all items and validated against hand labels (logged in DEVIATIONS.md, section D).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so those Qwen arms slightly favour games that avoided it.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29"/>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0"/>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refusal was not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0.058, 0.176])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 third of the drop toward S. The live rule flagged 13/13 B6 accepters. 270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as much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so offered Qwen targets nearly stopped challenging anyone.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before the offer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Done this way for Llama, FPR 0.142 [0.076, 0.239] and TPR 0.999 [0.993, 1.000] (Monte Carlo: 0.161, 0.999); its own vague acceptance (C9) was flagged at 0.954 [0.868, 0.990]. Qwen: FPR 0.082 [0.057, 0.117], TPR 1.000 [1.000, 1.000], benign 0.565 [0.357, 0.765], refused 1.000 [0.985, 1.000], notice only 0.088 [0.051, 0.140]. Claude: FPR 0.088 [0.065, 0.113], TPR on its own vague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3's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yperlink" Target="https://github.com/razzyrazzy11/trusted-agent-sting" TargetMode="External"/><Relationship Id="rId12" Type="http://schemas.openxmlformats.org/officeDocument/2006/relationships/hyperlink" Target="https://arxiv.org/abs/2507.01413" TargetMode="External"/><Relationship Id="rId13" Type="http://schemas.openxmlformats.org/officeDocument/2006/relationships/hyperlink" Target="https://doi.org/10.1186/1471-2288-11-94" TargetMode="External"/><Relationship Id="rId14" Type="http://schemas.openxmlformats.org/officeDocument/2006/relationships/hyperlink" Target="https://doi.org/10.3758/s13428-011-0132-6"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4.png"/><Relationship Id="rId30"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2026-10-25T09:48:44Z</dcterms:modified>
  <dc:creator>Raz [surname]</dc:creator>
  <dc:subject>Apart Research AI Collusion Research Sprint, October 2026</dc:subject>
</cp:coreProperties>
</file>