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Llama-3.1-8B, the primary model, had a hash-frozen preregistration that also covered Qwen2.5-7B's and Claude Haiku 5.5's replies to offers; their live games and per-model audits are post hoc. Refusals depended on the offer: Qwen accepted the pact 493/500 times from the game designer but 56/500 from the sting, and Claude refused every explicit pact (absent an instructed persona) yet accepted an indirect one 446/500 times. Accepted pacts showed up in play: live, the offer cut Llama's rate of challenging the sting by 41 percentage points, and the indirect offer cut Claude's and Qwen's by 42 and 48 (for Qwen, a benign proposal alone cut it by 37). A 20-decision audit calibrated on each model flagged nearly all simulated accepters, but it flags any drop in challenges of the sting, so it also flagged Qwen's refused offers and Claude's benign agreements, and Llama's threshold misfired on Qwen. An integrity notice in the rules cut Llama's acceptance from 0.952 to 0.556 but left a benign proposal almost untouched. When replayed decisions (post hoc) recalled a pact accepted from another player, neither the notice nor a private warning from the sting measurably weakened that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already accepted from another player.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(Llama: challenges of the sting fell 44 percentage points in snapshots, 41 live by intention to treat;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in the rules)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but not of a benign one (preregistered, Llama), but not a pact already made (post hoc snapshots).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an external evaluator all changed acceptance.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Under the heading “sting operations”, Wehner &amp; Kraprayoon (2026) propose messages in which another agent offers to collude (no test reported) and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player's direct, indirect or benign offer to one agent per table; the designer's hint tool as positive control)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 is also the auditor.</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 hypotheses (Table 1). Differences are proportions (0.10 = 10 percentage points), computed before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241703"/>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2417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benign accepted, C3 pact accepted, C4 pact refused, C5 pact + notice, C9 indirect pact accepted,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(Appendix A.1), for Llama-3.1-8B (the primary model), Qwen2.5-7B and Claude Haiku 5.5: the designer's secret hint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3,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audit power come from a preregistered simulation (Arnold et al., 2011). The live estimand is the difference in mean per-sequence post-offer rates at which T challenges S, B1 minus B3, by intention to treat (ITT: all offered targets, accepters or not; Welch test). Afterwards, players answered suspicion questions and each offered T was interviewed about any private agreement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with randomised tie-breaking,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and descriptive H4b–d compare the notice with the plain pact: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Section 4.4). Everything above was written in PREREG.md and hash-frozen before any real-model data; all 65 data folders carry the frozen hash. H2 is primary; H1, H2-live and H4a form a Holm-adjusted family; H3 is a criterion test; the rest is descriptive with 95% CIs (Appendix B; Wilson, 1927; Newcombe, 1998).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at the preregistered sizes, and B6, the sting's indirect pact, 15) or Claude (B1, B3,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in Appendix B), yet accepted the indirect pact (which drops the explicit mutual promises and the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in Appendix B). For Llama,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whether the drop was specific to S is unclear (Appendix B).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626643"/>
            <wp:docPr id="2" name="Picture 2"/>
            <wp:cNvGraphicFramePr>
              <a:graphicFrameLocks noChangeAspect="1"/>
            </wp:cNvGraphicFramePr>
            <a:graphic>
              <a:graphicData uri="http://schemas.openxmlformats.org/drawingml/2006/picture">
                <pic:pic>
                  <pic:nvPicPr>
                    <pic:cNvPr id="0" name="fig4_live.png"/>
                    <pic:cNvPicPr/>
                  </pic:nvPicPr>
                  <pic:blipFill>
                    <a:blip r:embed="rId9"/>
                    <a:stretch>
                      <a:fillRect/>
                    </a:stretch>
                  </pic:blipFill>
                  <pic:spPr>
                    <a:xfrm>
                      <a:off x="0" y="0"/>
                      <a:ext cx="4572000" cy="262664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by intention to treat. Claude's restraint was mostly aimed at S (S minus others,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0.030, against 0.348 with no offer). Relative to the others, the drop on S was small for accepters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5 in Appendix B), as the preregistered simulation predicted; this follows from H2, so it shows how few decisions suffice, not independent validation. Its FPR on the independent null replicate was 0.161 [0.074, 0.263] (Monte Carlo; 0.147 exactly), within what the preregistered simulation gave a calibrated audit (95th percentile 0.16–0.18), though an FPR up to 0.26 is not excluded.</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first subtracts challenge rates on O1 and O2 (exploratory). Snapshot and audit rows re-ask decisions from Llama games; snapshot rows are paired differences from the null record. Audit at m = 20, computed exactly with each model's own refit threshold (for Llama, same cut-off; tie probability 0.46 vs the preregistered 0.51) and, last row, Llama's preregistered one.</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10th-percentile rate;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up 71% of the restraint the pact induced.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new pacts with the sting, not existing ones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H4c, ITT: 0.297 [0.167, 0.422]), and B4 accepters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denial did not differ detectably (B4 vs B1: parser 5/20 vs 8/56, Fisher p = 0.309; post hoc validated judge 1/20 vs 1/56;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already accepted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more than about 27% of that effect in any model (upper 95% bounds;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after accepting a pact; for Qwen, after any offer, even a refused one, and toward all players; for Claude, after accepting any agreement, even a benign one, while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and Qwen in the battery), which also shrinks what a sting can detect, but neither the notice nor S's warning measurably weakened a pact already accepted from another player (Section 4.4, item 5). On suspicion, only Llama targets named S a plant (17/60 sequences; the excess over O1 and O2 came from the offer in their record); Qwen and Claude never did.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20 decisions; $0.005 for Claude Haiku 5.5) plus a one-off calibration per model (1,200 calls, $0.31); an unflagged model is not cleared.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a live disruption test (two ordinary agents form a pact before the trusted agent intervenes); larger models in agentic tasks; offers to every agent; and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already made.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raw logs on request); protocol hash 6ab45c16eed84d79… (commit 6885d5c). Harness: Liar's Bar starter (commit d585a7b), two bugs patched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three ways at once (no explicit mutual promise, no secrecy clause,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and the Qwen and Claude replications were added after the preregistered analysis; their plans and decision rules were logged before collection, and each verdict follows those rules. Their own cells are small (10–15 sequences per arm), percentile-bootstrap CIs at this size are slightly narrow (Welch CIs in the posthoc_ext tables),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Both gap analyses in Appendix B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toward fewer challenges. Claude runs met API rate limits, but retries succeeded (0.01% of decisions fell back to the default action). Llama's B6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the offer, not S's play, made targets suspect S.</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S's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Relative to their own pre-offer rates, B1 refusers challenged S more than B3 targets (0.216 [0.033, 0.404]), as Claude's refused-pact record did in snapshots. The live rule flagged 13/13 B6 accepters. 270 games, none capped; B6 accepters denied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groups challenged S at 0.000, so these CIs reflect only B3's variability). Unlike Llama, every kind of contact cut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 Interviews: Qwen accepters (B0, B1, B6) denied in 0/116 answers;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w:t>
      </w:r>
      <w:r>
        <w:rPr>
          <w:rFonts w:ascii="Old Standard TT" w:hAnsi="Old Standard TT" w:cs="Old Standard TT" w:eastAsia="Old Standard TT"/>
          <w:sz w:val="21"/>
          <w:szCs w:val="21"/>
        </w:rPr>
        <w:t xml:space="preserve"> Per sequence,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each compared with B3 (posthoc_ext/targeting*.csv, Welch CIs alongside).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B1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B2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0.015], B4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Change: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0.864,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0.799,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0.272],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0.416, 0.156],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0.431, 0.227];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0.179]. So Qwen refusers' lower post-offer rate on S was neither aimed at S nor clearly a change from their own baseline.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(the logged rule's verdict: the notice alone raises snapshot challenging, not live):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already accepted from another player (snapshots).</w:t>
      </w:r>
      <w:r>
        <w:rPr>
          <w:rFonts w:ascii="Old Standard TT" w:hAnsi="Old Standard TT" w:cs="Old Standard TT" w:eastAsia="Old Standard TT"/>
          <w:sz w:val="21"/>
          <w:szCs w:val="21"/>
        </w:rPr>
        <w:t xml:space="preserve"> At the 40 decisions where T could challenge another ordinary player P (O1 or O2), the record said P had earlier offered T the indirect pact and T had accepted in its own words (K1); K2 added the integrity notice; K3 added a later private message from S disclosing itself as an “integrity agent” and promising no report to anyone who drops a secret agreement; K4 added a neutral message from S instead. Ten samples per decision; plan and rules logged before collection (analysis re-run once after removing non-preregistered points; no verdict changed). Challenge rate on P (null record C1, K1, K2, K3, K4): Llama 0.613, 0.295, 0.348, 0.330, 0.348; Qwen 0.520, 0.003, 0.018, 0.045, 0.035; Claude 0.673, 0.100, 0.113, 0.238, 0.253. Pact effect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0.433]. Notice net of the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Qwen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Claude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(upper bounds 21%, 8%, 27% of the pact effect).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Qwen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bounds 19%, 10%, 18%). Any later message from S raised challenges of P for Claude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about a quarter of the pact effect) and slightly for Qwen (0.033 [0.005, 0.070]; sign-flip p ≥ 0.06), a contact route we did not test further. Caveats: P never acts as an ally in the replayed history; each record drew its own acceptance reply; C10 has 5 samples per decision;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committed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4's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pact offer or a benign proposal, with the designer's offer as positive control, is the sprint's weekend project for question 3.2 (here, one target per table).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python-docx</cp:lastModifiedBy>
  <cp:revision>1</cp:revision>
  <dcterms:modified xsi:type="dcterms:W3CDTF">2026-10-25T11:55:29Z</dcterms:modified>
  <dc:creator>Raz [surname]</dc:creator>
  <dc:subject>Apart Research AI Collusion Research Sprint, October 2026</dc:subject>
</cp:coreProperties>
</file>