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63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</w:tcPr>
          <w:tbl>
            <w:tblPr>
              <w:tblW w:w="2608" w:type="dxa"/>
              <w:tblBorders>
                <w:top w:val="dashed" w:sz="8" w:space="0" w:color="9AA3AD"/>
                <w:left w:val="dashed" w:sz="8" w:space="0" w:color="9AA3AD"/>
                <w:bottom w:val="dashed" w:sz="8" w:space="0" w:color="9AA3AD"/>
                <w:right w:val="dashed" w:sz="8" w:space="0" w:color="9AA3AD"/>
                <w:insideH w:val="dashed" w:sz="8" w:space="0" w:color="9AA3AD"/>
                <w:insideV w:val="dashed" w:sz="8" w:space="0" w:color="9AA3AD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608"/>
            </w:tblGrid>
            <w:tr>
              <w:trPr>
                <w:trHeight w:val="1361" w:hRule="exact"/>
              </w:trPr>
              <w:tc>
                <w:tcPr>
                  <w:tcW w:type="dxa" w:w="2608"/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color w:val="7A8591"/>
                      <w:sz w:val="22"/>
                    </w:rPr>
                    <w:t>SUA LOGO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color w:val="7A8591"/>
                      <w:sz w:val="14"/>
                    </w:rPr>
                    <w:t>(substitua por sua imagem)</w:t>
                  </w:r>
                </w:p>
              </w:tc>
            </w:tr>
          </w:tbl>
          <w:p/>
        </w:tc>
        <w:tc>
          <w:tcPr>
            <w:tcW w:type="dxa" w:w="6803"/>
            <w:vAlign w:val="center"/>
          </w:tcPr>
          <w:p>
            <w:pPr>
              <w:spacing w:after="20"/>
              <w:jc w:val="right"/>
            </w:pPr>
            <w:r>
              <w:rPr>
                <w:b/>
                <w:color w:val="B87F00"/>
                <w:sz w:val="26"/>
              </w:rPr>
              <w:t>[NOME DA EMPRESA / NOME DO VISTORIADOR]</w:t>
            </w:r>
          </w:p>
          <w:p>
            <w:pPr>
              <w:spacing w:after="0"/>
              <w:jc w:val="right"/>
            </w:pPr>
            <w:r>
              <w:rPr>
                <w:color w:val="4E5864"/>
                <w:sz w:val="17"/>
              </w:rPr>
              <w:t xml:space="preserve">CNPJ/CPF: </w:t>
            </w:r>
            <w:r>
              <w:rPr>
                <w:color w:val="B87F00"/>
                <w:sz w:val="17"/>
              </w:rPr>
              <w:t>[00.000.000/0000-00]</w:t>
            </w:r>
            <w:r>
              <w:rPr>
                <w:color w:val="4E5864"/>
                <w:sz w:val="17"/>
              </w:rPr>
              <w:t xml:space="preserve">  ·  </w:t>
            </w:r>
            <w:r>
              <w:rPr>
                <w:color w:val="B87F00"/>
                <w:sz w:val="17"/>
              </w:rPr>
              <w:t>[REGISTRO PROFISSIONAL, SE HOUVER]</w:t>
            </w:r>
          </w:p>
          <w:p>
            <w:pPr>
              <w:spacing w:after="0"/>
              <w:jc w:val="right"/>
            </w:pPr>
            <w:r>
              <w:rPr>
                <w:color w:val="B87F00"/>
                <w:sz w:val="17"/>
              </w:rPr>
              <w:t>[ENDEREÇO COMPLETO]</w:t>
            </w:r>
            <w:r>
              <w:rPr>
                <w:color w:val="4E5864"/>
                <w:sz w:val="17"/>
              </w:rPr>
              <w:t xml:space="preserve"> · </w:t>
            </w:r>
            <w:r>
              <w:rPr>
                <w:color w:val="B87F00"/>
                <w:sz w:val="17"/>
              </w:rPr>
              <w:t>[CIDADE/UF]</w:t>
            </w:r>
            <w:r>
              <w:rPr>
                <w:color w:val="4E5864"/>
                <w:sz w:val="17"/>
              </w:rPr>
              <w:t xml:space="preserve"> · CEP </w:t>
            </w:r>
            <w:r>
              <w:rPr>
                <w:color w:val="B87F00"/>
                <w:sz w:val="17"/>
              </w:rPr>
              <w:t>[00000-000]</w:t>
            </w:r>
          </w:p>
          <w:p>
            <w:pPr>
              <w:spacing w:after="0"/>
              <w:jc w:val="right"/>
            </w:pPr>
            <w:r>
              <w:rPr>
                <w:color w:val="4E5864"/>
                <w:sz w:val="17"/>
              </w:rPr>
              <w:t xml:space="preserve">WhatsApp </w:t>
            </w:r>
            <w:r>
              <w:rPr>
                <w:color w:val="B87F00"/>
                <w:sz w:val="17"/>
              </w:rPr>
              <w:t>[(00) 00000-0000]</w:t>
            </w:r>
            <w:r>
              <w:rPr>
                <w:color w:val="4E5864"/>
                <w:sz w:val="17"/>
              </w:rPr>
              <w:t xml:space="preserve"> · </w:t>
            </w:r>
            <w:r>
              <w:rPr>
                <w:color w:val="B87F00"/>
                <w:sz w:val="17"/>
              </w:rPr>
              <w:t>[E-MAIL]</w:t>
            </w:r>
            <w:r>
              <w:rPr>
                <w:color w:val="4E5864"/>
                <w:sz w:val="17"/>
              </w:rPr>
              <w:t xml:space="preserve"> · </w:t>
            </w:r>
            <w:r>
              <w:rPr>
                <w:color w:val="B87F00"/>
                <w:sz w:val="17"/>
              </w:rPr>
              <w:t>[SITE OU PERFIL]</w:t>
            </w:r>
          </w:p>
        </w:tc>
      </w:tr>
    </w:tbl>
    <w:p>
      <w:pPr>
        <w:spacing w:after="40" w:before="200"/>
      </w:pPr>
      <w:r>
        <w:rPr>
          <w:b/>
          <w:color w:val="0F1318"/>
          <w:sz w:val="34"/>
        </w:rPr>
        <w:t>PROPOSTA COMERCIAL – VISTORIA CAUTELAR</w:t>
      </w:r>
    </w:p>
    <w:p>
      <w:pPr>
        <w:pBdr>
          <w:bottom w:val="single" w:sz="8" w:space="4" w:color="F2A900"/>
        </w:pBdr>
        <w:spacing w:after="120"/>
      </w:pPr>
      <w:r>
        <w:rPr>
          <w:color w:val="4E5864"/>
          <w:sz w:val="19"/>
        </w:rPr>
        <w:t>Para lojas, revendas, frotas, locadoras e compradores particulares.</w:t>
      </w:r>
    </w:p>
    <w:p>
      <w:pPr>
        <w:spacing w:after="0" w:before="0" w:line="120" w:lineRule="exact"/>
      </w:pPr>
      <w:r>
        <w:rPr>
          <w:sz w:val="12"/>
        </w:rPr>
      </w:r>
    </w:p>
    <w:tbl>
      <w:tblPr>
        <w:tblW w:w="9638" w:type="dxa"/>
        <w:jc w:val="center"/>
        <w:tblBorders>
          <w:top w:val="single" w:sz="4" w:space="0" w:color="C9CED4"/>
          <w:left w:val="single" w:sz="4" w:space="0" w:color="C9CED4"/>
          <w:bottom w:val="single" w:sz="4" w:space="0" w:color="C9CED4"/>
          <w:right w:val="single" w:sz="4" w:space="0" w:color="C9CED4"/>
          <w:insideH w:val="single" w:sz="4" w:space="0" w:color="C9CED4"/>
          <w:insideV w:val="single" w:sz="4" w:space="0" w:color="C9CED4"/>
        </w:tblBorders>
        <w:tblLayout w:type="fixed"/>
        <w:tblCellMar>
          <w:top w:w="34" w:type="dxa"/>
          <w:left w:w="85" w:type="dxa"/>
          <w:bottom w:w="34" w:type="dxa"/>
          <w:right w:w="85" w:type="dxa"/>
        </w:tblCellMar>
        <w:tblLook w:firstColumn="1" w:firstRow="1" w:lastColumn="0" w:lastRow="0" w:noHBand="0" w:noVBand="1" w:val="04A0"/>
      </w:tblPr>
      <w:tblGrid>
        <w:gridCol w:w="1871"/>
        <w:gridCol w:w="2948"/>
        <w:gridCol w:w="1871"/>
        <w:gridCol w:w="2948"/>
      </w:tblGrid>
      <w:tr>
        <w:trPr>
          <w:cantSplit/>
          <w:trHeight w:val="408" w:hRule="atLeast"/>
        </w:trPr>
        <w:tc>
          <w:tcPr>
            <w:tcW w:type="dxa" w:w="1871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4E5864"/>
                <w:sz w:val="17"/>
              </w:rPr>
              <w:t>Proposta nº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color w:val="B87F00"/>
                <w:sz w:val="19"/>
              </w:rPr>
              <w:t>[000/AAAA]</w:t>
            </w:r>
          </w:p>
        </w:tc>
        <w:tc>
          <w:tcPr>
            <w:tcW w:type="dxa" w:w="1871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4E5864"/>
                <w:sz w:val="17"/>
              </w:rPr>
              <w:t>Data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color w:val="B87F00"/>
                <w:sz w:val="19"/>
              </w:rPr>
              <w:t>[DD/MM/AAAA]</w:t>
            </w:r>
          </w:p>
        </w:tc>
      </w:tr>
      <w:tr>
        <w:trPr>
          <w:cantSplit/>
          <w:trHeight w:val="408" w:hRule="atLeast"/>
        </w:trPr>
        <w:tc>
          <w:tcPr>
            <w:tcW w:type="dxa" w:w="1871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4E5864"/>
                <w:sz w:val="17"/>
              </w:rPr>
              <w:t>Cliente</w:t>
            </w:r>
          </w:p>
        </w:tc>
        <w:tc>
          <w:tcPr>
            <w:tcW w:type="dxa" w:w="7767"/>
            <w:gridSpan w:val="3"/>
            <w:vAlign w:val="center"/>
          </w:tcPr>
          <w:p>
            <w:pPr>
              <w:spacing w:after="0"/>
            </w:pPr>
            <w:r>
              <w:rPr>
                <w:color w:val="B87F00"/>
                <w:sz w:val="19"/>
              </w:rPr>
              <w:t>[NOME / RAZÃO SOCIAL]</w:t>
            </w:r>
          </w:p>
        </w:tc>
      </w:tr>
      <w:tr>
        <w:trPr>
          <w:cantSplit/>
          <w:trHeight w:val="408" w:hRule="atLeast"/>
        </w:trPr>
        <w:tc>
          <w:tcPr>
            <w:tcW w:type="dxa" w:w="1871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4E5864"/>
                <w:sz w:val="17"/>
              </w:rPr>
              <w:t>A/C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color w:val="B87F00"/>
                <w:sz w:val="19"/>
              </w:rPr>
              <w:t>[NOME DO CONTATO]</w:t>
            </w:r>
          </w:p>
        </w:tc>
        <w:tc>
          <w:tcPr>
            <w:tcW w:type="dxa" w:w="1871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4E5864"/>
                <w:sz w:val="17"/>
              </w:rPr>
              <w:t>Validade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color w:val="B87F00"/>
                <w:sz w:val="19"/>
              </w:rPr>
              <w:t>[15]</w:t>
            </w:r>
            <w:r>
              <w:rPr>
                <w:sz w:val="19"/>
              </w:rPr>
              <w:t xml:space="preserve"> dias</w:t>
            </w:r>
          </w:p>
        </w:tc>
      </w:tr>
    </w:tbl>
    <w:p>
      <w:pPr>
        <w:pStyle w:val="Heading1"/>
      </w:pPr>
      <w:r>
        <w:t>1. Apresentação</w:t>
      </w:r>
    </w:p>
    <w:p>
      <w:pPr>
        <w:jc w:val="both"/>
      </w:pPr>
      <w:r>
        <w:rPr>
          <w:color w:val="B87F00"/>
        </w:rPr>
        <w:t>[NOME DA EMPRESA]</w:t>
      </w:r>
      <w:r>
        <w:t xml:space="preserve"> realiza vistoria cautelar de veículos usados: um exame técnico visual e não destrutivo, com registro fotográfico, medições e classificação por critério publicado, para apoiar decisões de compra, venda e entrada de estoque. Atendemos em </w:t>
      </w:r>
      <w:r>
        <w:rPr>
          <w:color w:val="B87F00"/>
        </w:rPr>
        <w:t>[CIDADE/REGIÃO]</w:t>
      </w:r>
      <w:r>
        <w:t xml:space="preserve"> desde </w:t>
      </w:r>
      <w:r>
        <w:rPr>
          <w:color w:val="B87F00"/>
        </w:rPr>
        <w:t>[ANO]</w:t>
      </w:r>
      <w:r>
        <w:t>.</w:t>
      </w:r>
    </w:p>
    <w:p>
      <w:pPr>
        <w:jc w:val="both"/>
      </w:pPr>
      <w:r>
        <w:t xml:space="preserve">Trabalhamos com uma </w:t>
      </w:r>
      <w:r>
        <w:rPr>
          <w:b/>
        </w:rPr>
        <w:t>escala única de níveis (N0 a N4)</w:t>
      </w:r>
      <w:r>
        <w:t xml:space="preserve"> e uma </w:t>
      </w:r>
      <w:r>
        <w:rPr>
          <w:b/>
        </w:rPr>
        <w:t>matriz de resultado</w:t>
      </w:r>
      <w:r>
        <w:t xml:space="preserve"> pública (Aprovado, Aprovado com apontamentos, Reprovado e Inconclusivo). A classificação é técnica e independente: ninguém envolvido na negociação interfere no resultado.</w:t>
      </w:r>
    </w:p>
    <w:p>
      <w:pPr>
        <w:pStyle w:val="Heading1"/>
      </w:pPr>
      <w:r>
        <w:t>2. Níveis de serviço</w:t>
      </w:r>
    </w:p>
    <w:p>
      <w:r>
        <w:rPr>
          <w:color w:val="4E5864"/>
          <w:sz w:val="18"/>
        </w:rPr>
        <w:t>Os nomes e o conteúdo de cada nível são editáveis. ● incluso · ○ opcional · — não incluso.</w:t>
      </w:r>
    </w:p>
    <w:tbl>
      <w:tblPr>
        <w:tblW w:w="9638" w:type="dxa"/>
        <w:jc w:val="center"/>
        <w:tblBorders>
          <w:top w:val="single" w:sz="4" w:space="0" w:color="C9CED4"/>
          <w:left w:val="single" w:sz="4" w:space="0" w:color="C9CED4"/>
          <w:bottom w:val="single" w:sz="4" w:space="0" w:color="C9CED4"/>
          <w:right w:val="single" w:sz="4" w:space="0" w:color="C9CED4"/>
          <w:insideH w:val="single" w:sz="4" w:space="0" w:color="C9CED4"/>
          <w:insideV w:val="single" w:sz="4" w:space="0" w:color="C9CED4"/>
        </w:tblBorders>
        <w:tblLayout w:type="fixed"/>
        <w:tblCellMar>
          <w:top w:w="34" w:type="dxa"/>
          <w:left w:w="85" w:type="dxa"/>
          <w:bottom w:w="34" w:type="dxa"/>
          <w:right w:w="85" w:type="dxa"/>
        </w:tblCellMar>
        <w:tblLook w:firstColumn="1" w:firstRow="1" w:lastColumn="0" w:lastRow="0" w:noHBand="0" w:noVBand="1" w:val="04A0"/>
      </w:tblPr>
      <w:tblGrid>
        <w:gridCol w:w="5216"/>
        <w:gridCol w:w="1474"/>
        <w:gridCol w:w="1474"/>
        <w:gridCol w:w="1474"/>
      </w:tblGrid>
      <w:tr>
        <w:trPr>
          <w:cantSplit/>
          <w:tblHeader/>
        </w:trPr>
        <w:tc>
          <w:tcPr>
            <w:tcW w:type="dxa" w:w="5216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0F1318"/>
                <w:sz w:val="17"/>
              </w:rPr>
              <w:t>Item</w:t>
            </w:r>
          </w:p>
        </w:tc>
        <w:tc>
          <w:tcPr>
            <w:tcW w:type="dxa" w:w="1474"/>
            <w:shd w:val="clear" w:color="auto" w:fill="F2F3F5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B87F00"/>
                <w:sz w:val="17"/>
              </w:rPr>
              <w:t>[ESSENCIAL]</w:t>
            </w:r>
          </w:p>
        </w:tc>
        <w:tc>
          <w:tcPr>
            <w:tcW w:type="dxa" w:w="1474"/>
            <w:shd w:val="clear" w:color="auto" w:fill="F2F3F5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B87F00"/>
                <w:sz w:val="17"/>
              </w:rPr>
              <w:t>[COMPLETA]</w:t>
            </w:r>
          </w:p>
        </w:tc>
        <w:tc>
          <w:tcPr>
            <w:tcW w:type="dxa" w:w="1474"/>
            <w:shd w:val="clear" w:color="auto" w:fill="F2F3F5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B87F00"/>
                <w:sz w:val="17"/>
              </w:rPr>
              <w:t>[PREMIUM]</w:t>
            </w:r>
          </w:p>
        </w:tc>
      </w:tr>
      <w:tr>
        <w:trPr>
          <w:cantSplit/>
        </w:trPr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8"/>
              </w:rPr>
              <w:t>Documentação, histórico e conferência com o veículo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●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●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●</w:t>
            </w:r>
          </w:p>
        </w:tc>
      </w:tr>
      <w:tr>
        <w:trPr>
          <w:cantSplit/>
        </w:trPr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8"/>
              </w:rPr>
              <w:t>Identificação veicular (conferência de elementos)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●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●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●</w:t>
            </w:r>
          </w:p>
        </w:tc>
      </w:tr>
      <w:tr>
        <w:trPr>
          <w:cantSplit/>
        </w:trPr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8"/>
              </w:rPr>
              <w:t>Estrutura: inspeção visual das áreas acessíveis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●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●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●</w:t>
            </w:r>
          </w:p>
        </w:tc>
      </w:tr>
      <w:tr>
        <w:trPr>
          <w:cantSplit/>
        </w:trPr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8"/>
              </w:rPr>
              <w:t>Carroceria e pintura com mapa de espessura peça a peça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○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●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●</w:t>
            </w:r>
          </w:p>
        </w:tc>
      </w:tr>
      <w:tr>
        <w:trPr>
          <w:cantSplit/>
        </w:trPr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8"/>
              </w:rPr>
              <w:t>Vidros, iluminação e sinalização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●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●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●</w:t>
            </w:r>
          </w:p>
        </w:tc>
      </w:tr>
      <w:tr>
        <w:trPr>
          <w:cantSplit/>
        </w:trPr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8"/>
              </w:rPr>
              <w:t>Rodas, pneus, suspensão e direção (visual e sensitivo)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●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●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●</w:t>
            </w:r>
          </w:p>
        </w:tc>
      </w:tr>
      <w:tr>
        <w:trPr>
          <w:cantSplit/>
        </w:trPr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8"/>
              </w:rPr>
              <w:t>Motor, transmissão e freios (visual, partida e funcionamento)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●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●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●</w:t>
            </w:r>
          </w:p>
        </w:tc>
      </w:tr>
      <w:tr>
        <w:trPr>
          <w:cantSplit/>
        </w:trPr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8"/>
              </w:rPr>
              <w:t>Leitura de diagnóstico OBD2 e teste de bateria/carga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●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●</w:t>
            </w:r>
          </w:p>
        </w:tc>
      </w:tr>
      <w:tr>
        <w:trPr>
          <w:cantSplit/>
        </w:trPr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8"/>
              </w:rPr>
              <w:t>Teste de rodagem curto (com autorização do proprietário)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○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●</w:t>
            </w:r>
          </w:p>
        </w:tc>
      </w:tr>
      <w:tr>
        <w:trPr>
          <w:cantSplit/>
        </w:trPr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8"/>
              </w:rPr>
              <w:t>Interior, segurança passiva e sinais de enchente/incêndio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●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●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●</w:t>
            </w:r>
          </w:p>
        </w:tc>
      </w:tr>
      <w:tr>
        <w:trPr>
          <w:cantSplit/>
        </w:trPr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8"/>
              </w:rPr>
              <w:t>Consultas: restrições, gravame, leilão/sinistro, débitos, recall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○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●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●</w:t>
            </w:r>
          </w:p>
        </w:tc>
      </w:tr>
      <w:tr>
        <w:trPr>
          <w:cantSplit/>
        </w:trPr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8"/>
              </w:rPr>
              <w:t>Relatório fotográfico (quantidade mínima de fotos)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  <w:jc w:val="center"/>
            </w:pPr>
            <w:r>
              <w:rPr>
                <w:color w:val="B87F00"/>
                <w:sz w:val="18"/>
              </w:rPr>
              <w:t>[20]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  <w:jc w:val="center"/>
            </w:pPr>
            <w:r>
              <w:rPr>
                <w:color w:val="B87F00"/>
                <w:sz w:val="18"/>
              </w:rPr>
              <w:t>[40]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  <w:jc w:val="center"/>
            </w:pPr>
            <w:r>
              <w:rPr>
                <w:color w:val="B87F00"/>
                <w:sz w:val="18"/>
              </w:rPr>
              <w:t>[60+]</w:t>
            </w:r>
          </w:p>
        </w:tc>
      </w:tr>
      <w:tr>
        <w:trPr>
          <w:cantSplit/>
        </w:trPr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8"/>
              </w:rPr>
              <w:t>Laudo em PDF com explicação dos achados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●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●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●</w:t>
            </w:r>
          </w:p>
        </w:tc>
      </w:tr>
      <w:tr>
        <w:trPr>
          <w:cantSplit/>
        </w:trPr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8"/>
              </w:rPr>
              <w:t>Conversa de explicação do resultado (telefone ou presencial)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●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●</w:t>
            </w:r>
          </w:p>
        </w:tc>
      </w:tr>
      <w:tr>
        <w:trPr>
          <w:cantSplit/>
        </w:trPr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8"/>
              </w:rPr>
              <w:t>Prazo de entrega do laudo após a vistoria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  <w:jc w:val="center"/>
            </w:pPr>
            <w:r>
              <w:rPr>
                <w:color w:val="B87F00"/>
                <w:sz w:val="18"/>
              </w:rPr>
              <w:t>[24 h]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  <w:jc w:val="center"/>
            </w:pPr>
            <w:r>
              <w:rPr>
                <w:color w:val="B87F00"/>
                <w:sz w:val="18"/>
              </w:rPr>
              <w:t>[12 h]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  <w:jc w:val="center"/>
            </w:pPr>
            <w:r>
              <w:rPr>
                <w:color w:val="B87F00"/>
                <w:sz w:val="18"/>
              </w:rPr>
              <w:t>[no dia]</w:t>
            </w:r>
          </w:p>
        </w:tc>
      </w:tr>
      <w:tr>
        <w:trPr>
          <w:cantSplit/>
        </w:trPr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Valor por veículo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R$ [000]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R$ [000]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R$ [000]</w:t>
            </w:r>
          </w:p>
        </w:tc>
      </w:tr>
    </w:tbl>
    <w:p>
      <w:pPr>
        <w:spacing w:before="60"/>
      </w:pPr>
      <w:r>
        <w:rPr>
          <w:color w:val="4E5864"/>
          <w:sz w:val="18"/>
        </w:rPr>
        <w:t>Motos, utilitários com chassi, veículos pesados, blindados e elétricos/híbridos: valor sob consulta.</w:t>
      </w:r>
    </w:p>
    <w:p>
      <w:pPr>
        <w:pStyle w:val="Heading1"/>
      </w:pPr>
      <w:r>
        <w:t>3. Condições para lojas, revendas e frotas</w:t>
      </w:r>
    </w:p>
    <w:tbl>
      <w:tblPr>
        <w:tblW w:w="9638" w:type="dxa"/>
        <w:jc w:val="center"/>
        <w:tblBorders>
          <w:top w:val="single" w:sz="4" w:space="0" w:color="C9CED4"/>
          <w:left w:val="single" w:sz="4" w:space="0" w:color="C9CED4"/>
          <w:bottom w:val="single" w:sz="4" w:space="0" w:color="C9CED4"/>
          <w:right w:val="single" w:sz="4" w:space="0" w:color="C9CED4"/>
          <w:insideH w:val="single" w:sz="4" w:space="0" w:color="C9CED4"/>
          <w:insideV w:val="single" w:sz="4" w:space="0" w:color="C9CED4"/>
        </w:tblBorders>
        <w:tblLayout w:type="fixed"/>
        <w:tblCellMar>
          <w:top w:w="34" w:type="dxa"/>
          <w:left w:w="85" w:type="dxa"/>
          <w:bottom w:w="34" w:type="dxa"/>
          <w:right w:w="85" w:type="dxa"/>
        </w:tblCellMar>
        <w:tblLook w:firstColumn="1" w:firstRow="1" w:lastColumn="0" w:lastRow="0" w:noHBand="0" w:noVBand="1" w:val="04A0"/>
      </w:tblPr>
      <w:tblGrid>
        <w:gridCol w:w="2551"/>
        <w:gridCol w:w="3969"/>
        <w:gridCol w:w="3118"/>
      </w:tblGrid>
      <w:tr>
        <w:trPr>
          <w:cantSplit/>
          <w:tblHeader/>
        </w:trPr>
        <w:tc>
          <w:tcPr>
            <w:tcW w:type="dxa" w:w="2551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0F1318"/>
                <w:sz w:val="17"/>
              </w:rPr>
              <w:t>Volume mensal</w:t>
            </w:r>
          </w:p>
        </w:tc>
        <w:tc>
          <w:tcPr>
            <w:tcW w:type="dxa" w:w="3969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0F1318"/>
                <w:sz w:val="17"/>
              </w:rPr>
              <w:t>Condição</w:t>
            </w:r>
          </w:p>
        </w:tc>
        <w:tc>
          <w:tcPr>
            <w:tcW w:type="dxa" w:w="3118"/>
            <w:shd w:val="clear" w:color="auto" w:fill="F2F3F5"/>
            <w:vAlign w:val="center"/>
          </w:tcPr>
          <w:p>
            <w:pPr>
              <w:spacing w:after="0"/>
            </w:pPr>
            <w:r>
              <w:rPr>
                <w:b/>
                <w:color w:val="0F1318"/>
                <w:sz w:val="17"/>
              </w:rPr>
              <w:t>Faturamento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Até </w:t>
            </w:r>
            <w:r>
              <w:rPr>
                <w:color w:val="B87F00"/>
                <w:sz w:val="18"/>
              </w:rPr>
              <w:t>[10]</w:t>
            </w:r>
            <w:r>
              <w:rPr>
                <w:sz w:val="18"/>
              </w:rPr>
              <w:t xml:space="preserve"> vistorias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sz w:val="18"/>
              </w:rPr>
              <w:t>Tabela padrão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sz w:val="18"/>
              </w:rPr>
              <w:t>Por vistoria ou mensal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after="0"/>
            </w:pPr>
            <w:r>
              <w:rPr>
                <w:color w:val="B87F00"/>
                <w:sz w:val="18"/>
              </w:rPr>
              <w:t>[11]</w:t>
            </w:r>
            <w:r>
              <w:rPr>
                <w:sz w:val="18"/>
              </w:rPr>
              <w:t xml:space="preserve"> a </w:t>
            </w:r>
            <w:r>
              <w:rPr>
                <w:color w:val="B87F00"/>
                <w:sz w:val="18"/>
              </w:rPr>
              <w:t>[30]</w:t>
            </w:r>
            <w:r>
              <w:rPr>
                <w:sz w:val="18"/>
              </w:rPr>
              <w:t xml:space="preserve"> vistorias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Desconto de </w:t>
            </w:r>
            <w:r>
              <w:rPr>
                <w:color w:val="B87F00"/>
                <w:sz w:val="18"/>
              </w:rPr>
              <w:t>[00]</w:t>
            </w:r>
            <w:r>
              <w:rPr>
                <w:sz w:val="18"/>
              </w:rPr>
              <w:t>% sobre a tabela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Mensal, fechamento no dia </w:t>
            </w:r>
            <w:r>
              <w:rPr>
                <w:color w:val="B87F00"/>
                <w:sz w:val="18"/>
              </w:rPr>
              <w:t>[00]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Acima de </w:t>
            </w:r>
            <w:r>
              <w:rPr>
                <w:color w:val="B87F00"/>
                <w:sz w:val="18"/>
              </w:rPr>
              <w:t>[30]</w:t>
            </w:r>
            <w:r>
              <w:rPr>
                <w:sz w:val="18"/>
              </w:rPr>
              <w:t xml:space="preserve"> vistorias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sz w:val="18"/>
              </w:rPr>
              <w:t>Condição a combinar em convênio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sz w:val="18"/>
              </w:rPr>
              <w:t xml:space="preserve">Mensal, fechamento no dia </w:t>
            </w:r>
            <w:r>
              <w:rPr>
                <w:color w:val="B87F00"/>
                <w:sz w:val="18"/>
              </w:rPr>
              <w:t>[00]</w:t>
            </w:r>
          </w:p>
        </w:tc>
      </w:tr>
    </w:tbl>
    <w:p>
      <w:pPr>
        <w:pStyle w:val="ListBullet"/>
        <w:spacing w:after="40"/>
        <w:jc w:val="both"/>
      </w:pPr>
      <w:r>
        <w:t>O desconto por volume é concedido ao contratante do serviço e não altera o critério nem o resultado da vistoria.</w:t>
      </w:r>
    </w:p>
    <w:p>
      <w:pPr>
        <w:pStyle w:val="ListBullet"/>
        <w:spacing w:after="40"/>
        <w:jc w:val="both"/>
      </w:pPr>
      <w:r>
        <w:t>Quando a vistoria for paga pela loja e entregue ao consumidor, o laudo é entregue completo, sem supressão de páginas.</w:t>
      </w:r>
    </w:p>
    <w:p>
      <w:pPr>
        <w:pStyle w:val="ListBullet"/>
        <w:spacing w:after="40"/>
        <w:jc w:val="both"/>
      </w:pPr>
      <w:r>
        <w:t>Convênios de volume são formalizados em contrato de parceria específico.</w:t>
      </w:r>
    </w:p>
    <w:p>
      <w:pPr>
        <w:pStyle w:val="Heading1"/>
      </w:pPr>
      <w:r>
        <w:t>4. Prazos e agendamento</w:t>
      </w:r>
    </w:p>
    <w:p>
      <w:pPr>
        <w:pStyle w:val="ListBullet"/>
        <w:spacing w:after="40"/>
        <w:jc w:val="both"/>
      </w:pPr>
      <w:r>
        <w:t xml:space="preserve">Agendamento com antecedência mínima de </w:t>
      </w:r>
      <w:r>
        <w:rPr>
          <w:color w:val="B87F00"/>
        </w:rPr>
        <w:t>[00]</w:t>
      </w:r>
      <w:r>
        <w:t xml:space="preserve"> horas, pelo WhatsApp </w:t>
      </w:r>
      <w:r>
        <w:rPr>
          <w:color w:val="B87F00"/>
        </w:rPr>
        <w:t>[(00) 00000-0000]</w:t>
      </w:r>
      <w:r>
        <w:t>.</w:t>
      </w:r>
    </w:p>
    <w:p>
      <w:pPr>
        <w:pStyle w:val="ListBullet"/>
        <w:spacing w:after="40"/>
        <w:jc w:val="both"/>
      </w:pPr>
      <w:r>
        <w:t xml:space="preserve">Duração média da vistoria: </w:t>
      </w:r>
      <w:r>
        <w:rPr>
          <w:color w:val="B87F00"/>
        </w:rPr>
        <w:t>[60 a 120]</w:t>
      </w:r>
      <w:r>
        <w:t xml:space="preserve"> minutos, conforme o nível e o veículo.</w:t>
      </w:r>
    </w:p>
    <w:p>
      <w:pPr>
        <w:pStyle w:val="ListBullet"/>
        <w:spacing w:after="40"/>
        <w:jc w:val="both"/>
      </w:pPr>
      <w:r>
        <w:t>Entrega do laudo em PDF conforme o prazo do nível contratado, contado do término da vistoria.</w:t>
      </w:r>
    </w:p>
    <w:p>
      <w:pPr>
        <w:pStyle w:val="ListBullet"/>
        <w:spacing w:after="40"/>
        <w:jc w:val="both"/>
      </w:pPr>
      <w:r>
        <w:t xml:space="preserve">Deslocamento incluso num raio de </w:t>
      </w:r>
      <w:r>
        <w:rPr>
          <w:color w:val="B87F00"/>
        </w:rPr>
        <w:t>[00]</w:t>
      </w:r>
      <w:r>
        <w:t xml:space="preserve"> km de </w:t>
      </w:r>
      <w:r>
        <w:rPr>
          <w:color w:val="B87F00"/>
        </w:rPr>
        <w:t>[BAIRRO/CIDADE]</w:t>
      </w:r>
      <w:r>
        <w:t xml:space="preserve">; acima disso, R$ </w:t>
      </w:r>
      <w:r>
        <w:rPr>
          <w:color w:val="B87F00"/>
        </w:rPr>
        <w:t>[0,00]</w:t>
      </w:r>
      <w:r>
        <w:t xml:space="preserve"> por km </w:t>
      </w:r>
      <w:r>
        <w:rPr>
          <w:color w:val="B87F00"/>
        </w:rPr>
        <w:t>[OU TAXA FIXA]</w:t>
      </w:r>
      <w:r>
        <w:t>.</w:t>
      </w:r>
    </w:p>
    <w:p>
      <w:pPr>
        <w:pStyle w:val="Heading1"/>
      </w:pPr>
      <w:r>
        <w:t>5. O que não está incluído</w:t>
      </w:r>
    </w:p>
    <w:p>
      <w:pPr>
        <w:pStyle w:val="ListBullet"/>
        <w:spacing w:after="40"/>
        <w:jc w:val="both"/>
      </w:pPr>
      <w:r>
        <w:t>Desmontagem de peças, abertura de conjuntos mecânicos, uso de elevador (salvo quando disponível no local) e ensaios de laboratório.</w:t>
      </w:r>
    </w:p>
    <w:p>
      <w:pPr>
        <w:pStyle w:val="ListBullet"/>
        <w:spacing w:after="40"/>
        <w:jc w:val="both"/>
      </w:pPr>
      <w:r>
        <w:t>Vistoria oficial de identificação veicular exigida pelo órgão de trânsito para transferência, perícia oficial ou judicial.</w:t>
      </w:r>
    </w:p>
    <w:p>
      <w:pPr>
        <w:pStyle w:val="ListBullet"/>
        <w:spacing w:after="40"/>
        <w:jc w:val="both"/>
      </w:pPr>
      <w:r>
        <w:t>Garantia do veículo, avaliação de preço de mercado e intermediação do negócio.</w:t>
      </w:r>
    </w:p>
    <w:p>
      <w:pPr>
        <w:pStyle w:val="ListBullet"/>
        <w:spacing w:after="40"/>
        <w:jc w:val="both"/>
      </w:pPr>
      <w:r>
        <w:t>Orçamento de reparos (pode ser indicado como recomendação de avaliação complementar).</w:t>
      </w:r>
    </w:p>
    <w:p>
      <w:pPr>
        <w:pStyle w:val="Heading1"/>
      </w:pPr>
      <w:r>
        <w:t>6. Condições de pagamento</w:t>
      </w:r>
    </w:p>
    <w:p>
      <w:pPr>
        <w:pStyle w:val="ListBullet"/>
        <w:spacing w:after="40"/>
        <w:jc w:val="both"/>
      </w:pPr>
      <w:r>
        <w:t xml:space="preserve">Particulares: pagamento </w:t>
      </w:r>
      <w:r>
        <w:rPr>
          <w:color w:val="B87F00"/>
        </w:rPr>
        <w:t>[NO AGENDAMENTO / NA ENTREGA DO LAUDO]</w:t>
      </w:r>
      <w:r>
        <w:t xml:space="preserve"> via PIX, cartão ou transferência.</w:t>
      </w:r>
    </w:p>
    <w:p>
      <w:pPr>
        <w:pStyle w:val="ListBullet"/>
        <w:spacing w:after="40"/>
        <w:jc w:val="both"/>
      </w:pPr>
      <w:r>
        <w:t xml:space="preserve">Empresas conveniadas: faturamento mensal, vencimento em </w:t>
      </w:r>
      <w:r>
        <w:rPr>
          <w:color w:val="B87F00"/>
        </w:rPr>
        <w:t>[00]</w:t>
      </w:r>
      <w:r>
        <w:t xml:space="preserve"> dias após o fechamento, com nota fiscal </w:t>
      </w:r>
      <w:r>
        <w:rPr>
          <w:color w:val="B87F00"/>
        </w:rPr>
        <w:t>[VERIFICAR regime tributário e emissão de NFS-e no seu município]</w:t>
      </w:r>
      <w:r>
        <w:t>.</w:t>
      </w:r>
    </w:p>
    <w:p>
      <w:pPr>
        <w:pStyle w:val="ListBullet"/>
        <w:spacing w:after="40"/>
        <w:jc w:val="both"/>
      </w:pPr>
      <w:r>
        <w:t xml:space="preserve">Em caso de atraso: multa de </w:t>
      </w:r>
      <w:r>
        <w:rPr>
          <w:color w:val="B87F00"/>
        </w:rPr>
        <w:t>[2]</w:t>
      </w:r>
      <w:r>
        <w:t xml:space="preserve">% e juros de </w:t>
      </w:r>
      <w:r>
        <w:rPr>
          <w:color w:val="B87F00"/>
        </w:rPr>
        <w:t>[1]</w:t>
      </w:r>
      <w:r>
        <w:t>% ao mês, proporcionais ao período.</w:t>
      </w:r>
    </w:p>
    <w:p>
      <w:pPr>
        <w:pStyle w:val="Heading1"/>
      </w:pPr>
      <w:r>
        <w:t>7. Reagendamento e cancelamento</w:t>
      </w:r>
    </w:p>
    <w:p>
      <w:pPr>
        <w:pStyle w:val="ListBullet"/>
        <w:spacing w:after="40"/>
        <w:jc w:val="both"/>
      </w:pPr>
      <w:r>
        <w:t xml:space="preserve">Reagendamento sem custo com aviso de até </w:t>
      </w:r>
      <w:r>
        <w:rPr>
          <w:color w:val="B87F00"/>
        </w:rPr>
        <w:t>[00]</w:t>
      </w:r>
      <w:r>
        <w:t xml:space="preserve"> horas antes do horário marcado.</w:t>
      </w:r>
    </w:p>
    <w:p>
      <w:pPr>
        <w:pStyle w:val="ListBullet"/>
        <w:spacing w:after="40"/>
        <w:jc w:val="both"/>
      </w:pPr>
      <w:r>
        <w:t xml:space="preserve">Se o veículo não estiver disponível no local e horário combinados, ou se a vistoria não puder ser iniciada por motivo alheio ao vistoriador, poderá ser cobrada taxa de deslocamento de R$ </w:t>
      </w:r>
      <w:r>
        <w:rPr>
          <w:color w:val="B87F00"/>
        </w:rPr>
        <w:t>[0,00]</w:t>
      </w:r>
      <w:r>
        <w:t>.</w:t>
      </w:r>
    </w:p>
    <w:p>
      <w:pPr>
        <w:pStyle w:val="ListBullet"/>
        <w:spacing w:after="40"/>
        <w:jc w:val="both"/>
      </w:pPr>
      <w:r>
        <w:t xml:space="preserve">Veículo que não permita a verificação da identificação veicular gera laudo INCONCLUSIVO, com o valor </w:t>
      </w:r>
      <w:r>
        <w:rPr>
          <w:color w:val="B87F00"/>
        </w:rPr>
        <w:t>[INTEGRAL / REDUZIDO – DEFINIR]</w:t>
      </w:r>
      <w:r>
        <w:t>.</w:t>
      </w:r>
    </w:p>
    <w:p>
      <w:pPr>
        <w:pStyle w:val="Heading1"/>
      </w:pPr>
      <w:r>
        <w:t>8. Aceite</w:t>
      </w:r>
    </w:p>
    <w:p>
      <w:pPr>
        <w:jc w:val="both"/>
      </w:pPr>
      <w:r>
        <w:t xml:space="preserve">Esta proposta é válida por </w:t>
      </w:r>
      <w:r>
        <w:rPr>
          <w:color w:val="B87F00"/>
        </w:rPr>
        <w:t>[15]</w:t>
      </w:r>
      <w:r>
        <w:t xml:space="preserve"> dias a partir da data de emissão. O aceite pode ser feito por assinatura abaixo ou por mensagem escrita que faça referência ao número desta proposta.</w:t>
      </w:r>
    </w:p>
    <w:p>
      <w:pPr>
        <w:spacing w:after="80" w:before="200"/>
        <w:jc w:val="right"/>
      </w:pPr>
      <w:r>
        <w:rPr>
          <w:color w:val="B87F00"/>
        </w:rPr>
        <w:t>[CIDADE/UF]</w:t>
      </w:r>
      <w:r>
        <w:t xml:space="preserve">, </w:t>
      </w:r>
      <w:r>
        <w:rPr>
          <w:color w:val="B87F00"/>
        </w:rPr>
        <w:t>[DIA]</w:t>
      </w:r>
      <w:r>
        <w:t xml:space="preserve"> de </w:t>
      </w:r>
      <w:r>
        <w:rPr>
          <w:color w:val="B87F00"/>
        </w:rPr>
        <w:t>[MÊS]</w:t>
      </w:r>
      <w:r>
        <w:t xml:space="preserve"> de </w:t>
      </w:r>
      <w:r>
        <w:rPr>
          <w:color w:val="B87F00"/>
        </w:rPr>
        <w:t>[ANO]</w:t>
      </w:r>
      <w:r>
        <w:t>.</w:t>
      </w:r>
    </w:p>
    <w:tbl>
      <w:tblPr>
        <w:tblW w:w="9637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535"/>
        <w:gridCol w:w="567"/>
        <w:gridCol w:w="4535"/>
      </w:tblGrid>
      <w:tr>
        <w:trPr>
          <w:cantSplit/>
          <w:cantSplit/>
        </w:trPr>
        <w:tc>
          <w:tcPr>
            <w:tcW w:type="dxa" w:w="4535"/>
          </w:tcPr>
          <w:p>
            <w:pPr>
              <w:pBdr>
                <w:top w:val="single" w:sz="6" w:space="4" w:color="1A1F26"/>
              </w:pBdr>
              <w:spacing w:after="0" w:before="600"/>
              <w:jc w:val="center"/>
            </w:pPr>
            <w:r>
              <w:rPr>
                <w:b/>
                <w:color w:val="B87F00"/>
                <w:sz w:val="18"/>
              </w:rPr>
              <w:t>[NOME DO VISTORIADOR / EMPRESA]</w:t>
            </w:r>
          </w:p>
          <w:p>
            <w:pPr>
              <w:spacing w:after="0"/>
              <w:jc w:val="center"/>
            </w:pPr>
            <w:r>
              <w:rPr>
                <w:color w:val="4E5864"/>
                <w:sz w:val="17"/>
              </w:rPr>
              <w:t>Proponente</w:t>
            </w:r>
          </w:p>
        </w:tc>
        <w:tc>
          <w:tcPr>
            <w:tcW w:type="dxa" w:w="567"/>
          </w:tcPr>
          <w:p/>
        </w:tc>
        <w:tc>
          <w:tcPr>
            <w:tcW w:type="dxa" w:w="4535"/>
          </w:tcPr>
          <w:p>
            <w:pPr>
              <w:pBdr>
                <w:top w:val="single" w:sz="6" w:space="4" w:color="1A1F26"/>
              </w:pBdr>
              <w:spacing w:after="0" w:before="600"/>
              <w:jc w:val="center"/>
            </w:pPr>
            <w:r>
              <w:rPr>
                <w:b/>
                <w:color w:val="B87F00"/>
                <w:sz w:val="18"/>
              </w:rPr>
              <w:t>[NOME DO CLIENTE]</w:t>
            </w:r>
          </w:p>
          <w:p>
            <w:pPr>
              <w:spacing w:after="0"/>
              <w:jc w:val="center"/>
            </w:pPr>
            <w:r>
              <w:rPr>
                <w:color w:val="4E5864"/>
                <w:sz w:val="17"/>
              </w:rPr>
              <w:t>De acordo – cliente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134" w:bottom="1134" w:left="1134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4" w:space="4" w:color="C9CED4"/>
      </w:pBdr>
      <w:spacing w:after="20"/>
      <w:jc w:val="center"/>
    </w:pPr>
    <w:r>
      <w:rPr>
        <w:i/>
        <w:color w:val="7A8591"/>
        <w:sz w:val="15"/>
      </w:rPr>
      <w:t>Modelo de referência. Revise com um advogado de sua confiança antes de usar.</w:t>
    </w:r>
  </w:p>
  <w:p>
    <w:pPr>
      <w:tabs>
        <w:tab w:pos="9638" w:val="right"/>
      </w:tabs>
      <w:spacing w:after="0"/>
    </w:pPr>
    <w:r>
      <w:rPr>
        <w:color w:val="B87F00"/>
        <w:sz w:val="16"/>
      </w:rPr>
      <w:t>[NOME DA EMPRESA]</w:t>
    </w:r>
    <w:r>
      <w:rPr>
        <w:color w:val="7A8591"/>
        <w:sz w:val="16"/>
      </w:rPr>
      <w:tab/>
      <w:t xml:space="preserve">Página </w:t>
    </w:r>
    <w:r>
      <w:rPr>
        <w:color w:val="7A8591"/>
        <w:sz w:val="16"/>
      </w:rPr>
      <w:fldChar w:fldCharType="begin"/>
    </w:r>
    <w:r>
      <w:rPr>
        <w:color w:val="7A8591"/>
        <w:sz w:val="16"/>
      </w:rPr>
      <w:instrText xml:space="preserve"> PAGE </w:instrText>
    </w:r>
    <w:r>
      <w:rPr>
        <w:color w:val="7A8591"/>
        <w:sz w:val="16"/>
      </w:rPr>
      <w:fldChar w:fldCharType="separate"/>
    </w:r>
    <w:r>
      <w:rPr>
        <w:color w:val="7A8591"/>
        <w:sz w:val="16"/>
      </w:rPr>
      <w:t>1</w:t>
    </w:r>
    <w:r>
      <w:rPr>
        <w:color w:val="7A8591"/>
        <w:sz w:val="16"/>
      </w:rPr>
      <w:fldChar w:fldCharType="end"/>
    </w:r>
    <w:r>
      <w:rPr>
        <w:color w:val="7A8591"/>
        <w:sz w:val="16"/>
      </w:rPr>
      <w:t xml:space="preserve"> de </w:t>
    </w:r>
    <w:r>
      <w:rPr>
        <w:color w:val="7A8591"/>
        <w:sz w:val="16"/>
      </w:rPr>
      <w:fldChar w:fldCharType="begin"/>
    </w:r>
    <w:r>
      <w:rPr>
        <w:color w:val="7A8591"/>
        <w:sz w:val="16"/>
      </w:rPr>
      <w:instrText xml:space="preserve"> NUMPAGES </w:instrText>
    </w:r>
    <w:r>
      <w:rPr>
        <w:color w:val="7A8591"/>
        <w:sz w:val="16"/>
      </w:rPr>
      <w:fldChar w:fldCharType="separate"/>
    </w:r>
    <w:r>
      <w:rPr>
        <w:color w:val="7A8591"/>
        <w:sz w:val="16"/>
      </w:rPr>
      <w:t>1</w:t>
    </w:r>
    <w:r>
      <w:rPr>
        <w:color w:val="7A8591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Calibri" w:hAnsi="Calibri" w:eastAsia="Calibri" w:cs="Calibri"/>
      <w:color w:val="1A1F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Bdr>
        <w:bottom w:val="single" w:sz="6" w:space="3" w:color="F2A900"/>
      </w:pBdr>
      <w:spacing w:before="280" w:after="120"/>
      <w:outlineLvl w:val="0"/>
    </w:pPr>
    <w:rPr>
      <w:rFonts w:ascii="Calibri" w:hAnsi="Calibri" w:eastAsia="Calibri" w:cs="Calibri"/>
      <w:b/>
      <w:bCs/>
      <w:i w:val="0"/>
      <w:color w:val="0F1318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="Calibri" w:hAnsi="Calibri" w:eastAsia="Calibri" w:cs="Calibri"/>
      <w:b/>
      <w:bCs/>
      <w:i w:val="0"/>
      <w:color w:val="0F131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="Calibri" w:hAnsi="Calibri" w:eastAsia="Calibri" w:cs="Calibri"/>
      <w:b/>
      <w:bCs/>
      <w:i w:val="0"/>
      <w:color w:val="0F131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ind w:left="340" w:hanging="227"/>
      <w:contextualSpacing/>
    </w:pPr>
    <w:rPr>
      <w:rFonts w:ascii="Calibri" w:hAnsi="Calibri" w:eastAsia="Calibri" w:cs="Calibr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