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134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p>
      <w:pPr>
        <w:spacing w:after="40" w:before="200"/>
      </w:pPr>
      <w:r>
        <w:rPr>
          <w:b/>
          <w:color w:val="0F1318"/>
          <w:sz w:val="34"/>
        </w:rPr>
        <w:t>AVISO DE PRIVACIDADE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 xml:space="preserve">Como tratamos os dados pessoais de clientes e de proprietários nas vistorias cautelares – LGPD, Lei 13.709/2018. Versão </w:t>
      </w:r>
      <w:r>
        <w:rPr>
          <w:color w:val="B87F00"/>
          <w:sz w:val="19"/>
        </w:rPr>
        <w:t>[1.0]</w:t>
      </w:r>
      <w:r>
        <w:rPr>
          <w:color w:val="4E5864"/>
          <w:sz w:val="19"/>
        </w:rPr>
        <w:t xml:space="preserve"> – vigente desde </w:t>
      </w:r>
      <w:r>
        <w:rPr>
          <w:color w:val="B87F00"/>
          <w:sz w:val="19"/>
        </w:rPr>
        <w:t>[DD/MM/AAAA]</w:t>
      </w:r>
      <w:r>
        <w:rPr>
          <w:color w:val="4E5864"/>
          <w:sz w:val="19"/>
        </w:rPr>
        <w:t>.</w:t>
      </w:r>
    </w:p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1. Quem somos</w:t>
      </w:r>
    </w:p>
    <w:p>
      <w:pPr>
        <w:jc w:val="both"/>
      </w:pPr>
      <w:r>
        <w:rPr>
          <w:color w:val="B87F00"/>
        </w:rPr>
        <w:t>[NOME DA EMPRESA]</w:t>
      </w:r>
      <w:r>
        <w:t xml:space="preserve">, CNPJ/CPF </w:t>
      </w:r>
      <w:r>
        <w:rPr>
          <w:color w:val="B87F00"/>
        </w:rPr>
        <w:t>[00.000.000/0000-00]</w:t>
      </w:r>
      <w:r>
        <w:t xml:space="preserve">, com endereço em </w:t>
      </w:r>
      <w:r>
        <w:rPr>
          <w:color w:val="B87F00"/>
        </w:rPr>
        <w:t>[ENDEREÇO COMPLETO]</w:t>
      </w:r>
      <w:r>
        <w:t xml:space="preserve">, </w:t>
      </w:r>
      <w:r>
        <w:rPr>
          <w:color w:val="B87F00"/>
        </w:rPr>
        <w:t>[CIDADE/UF]</w:t>
      </w:r>
      <w:r>
        <w:t xml:space="preserve">, é a </w:t>
      </w:r>
      <w:r>
        <w:rPr>
          <w:b/>
        </w:rPr>
        <w:t>controladora</w:t>
      </w:r>
      <w:r>
        <w:t xml:space="preserve"> dos dados pessoais tratados na prestação de serviços de vistoria cautelar.</w:t>
      </w:r>
    </w:p>
    <w:p>
      <w:pPr>
        <w:pStyle w:val="Heading1"/>
      </w:pPr>
      <w:r>
        <w:t>2. Quais dados coletamos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154"/>
        <w:gridCol w:w="4649"/>
        <w:gridCol w:w="2835"/>
      </w:tblGrid>
      <w:tr>
        <w:trPr>
          <w:cantSplit/>
          <w:tblHeader/>
        </w:trPr>
        <w:tc>
          <w:tcPr>
            <w:tcW w:type="dxa" w:w="2154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Categoria</w:t>
            </w:r>
          </w:p>
        </w:tc>
        <w:tc>
          <w:tcPr>
            <w:tcW w:type="dxa" w:w="464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Exemplos</w:t>
            </w:r>
          </w:p>
        </w:tc>
        <w:tc>
          <w:tcPr>
            <w:tcW w:type="dxa" w:w="283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Identificação e contato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Nome, CPF ou CNPJ, telefone/WhatsApp, e-mail, endereço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Você, ao agendar ou contratar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Dados do veículo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Placa, chassi (VIN), RENAVAM, nº do motor, marca/modelo, ano, cor, quilometragem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Documento do veículo e vistoria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Fotografias e vídeos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Imagens do veículo, inclusive placa, chassi, etiquetas e hodômetro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Vistoria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Proprietário/possuidor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Nome, CPF e assinatura na autorização de vistoria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Proprietário ou possuidor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Restrições, gravame, leilão/sinistro, débitos e recall vinculados ao veículo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Provedores e bases de consulta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sz w:val="18"/>
              </w:rPr>
              <w:t>Pagamento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 de pagamento, comprovantes, dados para nota fiscal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Você e meios de pagamento</w:t>
            </w:r>
          </w:p>
        </w:tc>
      </w:tr>
    </w:tbl>
    <w:p>
      <w:pPr>
        <w:spacing w:before="80"/>
        <w:jc w:val="both"/>
      </w:pPr>
      <w:r>
        <w:rPr>
          <w:sz w:val="19"/>
        </w:rPr>
        <w:t>Placa, chassi e demais dados do veículo são tratados como dados pessoais sempre que puderem ser associados a uma pessoa. Não coletamos dados pessoais sensíveis para a vistoria. Se aparecerem pessoas ou placas de terceiros nas fotos, elas são recortadas ou ocultadas.</w:t>
      </w:r>
    </w:p>
    <w:p>
      <w:pPr>
        <w:pStyle w:val="Heading1"/>
      </w:pPr>
      <w:r>
        <w:t>3. Para que usamos e com qual base legal</w:t>
      </w:r>
    </w:p>
    <w:tbl>
      <w:tblPr>
        <w:tblW w:w="9637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cantSplit/>
          <w:tblHeader/>
        </w:trPr>
        <w:tc>
          <w:tcPr>
            <w:tcW w:type="dxa" w:w="510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Finalidade</w:t>
            </w:r>
          </w:p>
        </w:tc>
        <w:tc>
          <w:tcPr>
            <w:tcW w:type="dxa" w:w="453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Base legal (LGPD, art. 7º)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8"/>
              </w:rPr>
              <w:t>Agendar, realizar a vistoria, emitir e entregar o laudo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Execução de contrato e procedimentos preliminares (inciso V)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8"/>
              </w:rPr>
              <w:t>Emitir recibo ou nota fiscal e manter registros contábeis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Cumprimento de obrigação legal ou regulatória (inciso II)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8"/>
              </w:rPr>
              <w:t>Guardar laudo, fotos e termos para comprovar o serviço e defender direitos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Exercício regular de direitos em processo judicial, administrativo ou arbitral (inciso VI)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8"/>
              </w:rPr>
              <w:t>Segurança, prevenção a fraudes e melhoria do serviço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Legítimo interesse (inciso IX), respeitados seus direitos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8"/>
              </w:rPr>
              <w:t>Enviar novidades e ofertas; usar fotos (sem placa) em divulgação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Consentimento (inciso I), revogável a qualquer momento</w:t>
            </w:r>
          </w:p>
        </w:tc>
      </w:tr>
    </w:tbl>
    <w:p>
      <w:pPr>
        <w:pStyle w:val="Heading1"/>
      </w:pPr>
      <w:r>
        <w:t>4. Com quem compartilhamos</w:t>
      </w:r>
    </w:p>
    <w:p>
      <w:pPr>
        <w:pStyle w:val="ListBullet"/>
        <w:spacing w:after="40"/>
        <w:jc w:val="both"/>
      </w:pPr>
      <w:r>
        <w:t xml:space="preserve">Com o </w:t>
      </w:r>
      <w:r>
        <w:rPr>
          <w:b/>
        </w:rPr>
        <w:t>solicitante da vistoria</w:t>
      </w:r>
      <w:r>
        <w:t>, que recebe o laudo (e com quem ele escolher compartilhar).</w:t>
      </w:r>
    </w:p>
    <w:p>
      <w:pPr>
        <w:pStyle w:val="ListBullet"/>
        <w:spacing w:after="40"/>
        <w:jc w:val="both"/>
      </w:pPr>
      <w:r>
        <w:t xml:space="preserve">Com </w:t>
      </w:r>
      <w:r>
        <w:rPr>
          <w:b/>
        </w:rPr>
        <w:t>prestadores necessários</w:t>
      </w:r>
      <w:r>
        <w:t xml:space="preserve"> ao serviço: provedores de consulta veicular, armazenamento em nuvem, aplicativo de vistoria, meios de pagamento e contabilidade, sob dever de confidencialidade.</w:t>
      </w:r>
    </w:p>
    <w:p>
      <w:pPr>
        <w:pStyle w:val="ListBullet"/>
        <w:spacing w:after="40"/>
        <w:jc w:val="both"/>
      </w:pPr>
      <w:r>
        <w:t xml:space="preserve">Com a </w:t>
      </w:r>
      <w:r>
        <w:rPr>
          <w:b/>
        </w:rPr>
        <w:t>loja parceira</w:t>
      </w:r>
      <w:r>
        <w:t>, somente quando ela for a contratante da vistoria ou quando você autorizar.</w:t>
      </w:r>
    </w:p>
    <w:p>
      <w:pPr>
        <w:pStyle w:val="ListBullet"/>
        <w:spacing w:after="40"/>
        <w:jc w:val="both"/>
      </w:pPr>
      <w:r>
        <w:t xml:space="preserve">Com </w:t>
      </w:r>
      <w:r>
        <w:rPr>
          <w:b/>
        </w:rPr>
        <w:t>autoridades</w:t>
      </w:r>
      <w:r>
        <w:t>, quando houver obrigação legal ou ordem judicial.</w:t>
      </w:r>
    </w:p>
    <w:p>
      <w:pPr>
        <w:pStyle w:val="ListBullet"/>
        <w:spacing w:after="40"/>
        <w:jc w:val="both"/>
      </w:pPr>
      <w:r>
        <w:t xml:space="preserve">Alguns prestadores podem armazenar dados fora do Brasil; nesse caso, adotamos as salvaguardas previstas nos arts. 33 e seguintes da LGPD </w:t>
      </w:r>
      <w:r>
        <w:rPr>
          <w:color w:val="B87F00"/>
        </w:rPr>
        <w:t>[VERIFICAR mecanismo aplicável ao seu fornecedor]</w:t>
      </w:r>
      <w:r>
        <w:t>.</w:t>
      </w:r>
    </w:p>
    <w:p>
      <w:pPr>
        <w:pStyle w:val="ListBullet"/>
        <w:spacing w:after="40"/>
        <w:jc w:val="both"/>
      </w:pPr>
      <w:r>
        <w:rPr>
          <w:b/>
        </w:rPr>
        <w:t>Não vendemos</w:t>
      </w:r>
      <w:r>
        <w:t xml:space="preserve"> dados pessoais.</w:t>
      </w:r>
    </w:p>
    <w:p>
      <w:pPr>
        <w:pStyle w:val="Heading1"/>
      </w:pPr>
      <w:r>
        <w:t>5. Por quanto tempo guardamos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835"/>
        <w:gridCol w:w="2381"/>
        <w:gridCol w:w="4422"/>
      </w:tblGrid>
      <w:tr>
        <w:trPr>
          <w:cantSplit/>
          <w:tblHeader/>
        </w:trPr>
        <w:tc>
          <w:tcPr>
            <w:tcW w:type="dxa" w:w="283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Dado</w:t>
            </w:r>
          </w:p>
        </w:tc>
        <w:tc>
          <w:tcPr>
            <w:tcW w:type="dxa" w:w="238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Prazo de retenção</w:t>
            </w:r>
          </w:p>
        </w:tc>
        <w:tc>
          <w:tcPr>
            <w:tcW w:type="dxa" w:w="442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Laudo, fotos, termos e autorizações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[5]</w:t>
            </w:r>
            <w:r>
              <w:rPr>
                <w:sz w:val="18"/>
              </w:rPr>
              <w:t xml:space="preserve"> anos após a vistoria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sz w:val="18"/>
              </w:rPr>
              <w:t>Prazos de reclamação e de ação (ex.: art. 27 do CDC – Lei 8.078/1990; art. 206, § 3º, V, do Código Civil)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Documentos fiscais e contábeis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[PRAZO]</w:t>
            </w:r>
            <w:r>
              <w:rPr>
                <w:sz w:val="18"/>
              </w:rPr>
              <w:t xml:space="preserve"> </w:t>
            </w:r>
            <w:r>
              <w:rPr>
                <w:color w:val="B87F00"/>
                <w:sz w:val="18"/>
              </w:rPr>
              <w:t>[VERIFICAR com seu contador]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sz w:val="18"/>
              </w:rPr>
              <w:t>Obrigação legal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Contato para ofertas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8"/>
              </w:rPr>
              <w:t>Até a revogação do consentimento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Consentimento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  <w:t>Mensagens de agendamento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[12]</w:t>
            </w:r>
            <w:r>
              <w:rPr>
                <w:sz w:val="18"/>
              </w:rPr>
              <w:t xml:space="preserve"> meses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sz w:val="18"/>
              </w:rPr>
              <w:t>Atendimento e histórico</w:t>
            </w:r>
          </w:p>
        </w:tc>
      </w:tr>
    </w:tbl>
    <w:p>
      <w:pPr>
        <w:spacing w:before="80"/>
      </w:pPr>
      <w:r>
        <w:rPr>
          <w:sz w:val="19"/>
        </w:rPr>
        <w:t>Ao fim do prazo, os dados são eliminados ou anonimizados, salvo as hipóteses de conservação do art. 16 da LGPD.</w:t>
      </w:r>
    </w:p>
    <w:p>
      <w:pPr>
        <w:pStyle w:val="Heading1"/>
      </w:pPr>
      <w:r>
        <w:t>6. Como protegemos</w:t>
      </w:r>
    </w:p>
    <w:p>
      <w:pPr>
        <w:jc w:val="both"/>
      </w:pPr>
      <w:r>
        <w:t>Adotamos medidas técnicas e administrativas razoáveis: acesso restrito aos arquivos, senhas e autenticação em dois fatores nas contas usadas, cópias de segurança e envio do laudo somente aos contatos informados na contratação.</w:t>
      </w:r>
    </w:p>
    <w:p>
      <w:pPr>
        <w:pStyle w:val="Heading1"/>
      </w:pPr>
      <w:r>
        <w:t>7. Seus direitos como titular (LGPD, art. 18)</w:t>
      </w:r>
    </w:p>
    <w:p>
      <w:pPr>
        <w:pStyle w:val="ListBullet"/>
        <w:spacing w:after="40"/>
        <w:jc w:val="both"/>
      </w:pPr>
      <w:r>
        <w:t>confirmação da existência de tratamento e acesso aos dados;</w:t>
      </w:r>
    </w:p>
    <w:p>
      <w:pPr>
        <w:pStyle w:val="ListBullet"/>
        <w:spacing w:after="40"/>
        <w:jc w:val="both"/>
      </w:pPr>
      <w:r>
        <w:t>correção de dados incompletos, inexatos ou desatualizados;</w:t>
      </w:r>
    </w:p>
    <w:p>
      <w:pPr>
        <w:pStyle w:val="ListBullet"/>
        <w:spacing w:after="40"/>
        <w:jc w:val="both"/>
      </w:pPr>
      <w:r>
        <w:t>anonimização, bloqueio ou eliminação de dados desnecessários, excessivos ou tratados em desconformidade com a lei;</w:t>
      </w:r>
    </w:p>
    <w:p>
      <w:pPr>
        <w:pStyle w:val="ListBullet"/>
        <w:spacing w:after="40"/>
        <w:jc w:val="both"/>
      </w:pPr>
      <w:r>
        <w:t>portabilidade, nos termos da regulamentação;</w:t>
      </w:r>
    </w:p>
    <w:p>
      <w:pPr>
        <w:pStyle w:val="ListBullet"/>
        <w:spacing w:after="40"/>
        <w:jc w:val="both"/>
      </w:pPr>
      <w:r>
        <w:t>eliminação dos dados tratados com consentimento, ressalvadas as hipóteses legais de conservação;</w:t>
      </w:r>
    </w:p>
    <w:p>
      <w:pPr>
        <w:pStyle w:val="ListBullet"/>
        <w:spacing w:after="40"/>
        <w:jc w:val="both"/>
      </w:pPr>
      <w:r>
        <w:t>informação sobre com quem compartilhamos os dados e sobre a possibilidade de não consentir e suas consequências;</w:t>
      </w:r>
    </w:p>
    <w:p>
      <w:pPr>
        <w:pStyle w:val="ListBullet"/>
        <w:spacing w:after="40"/>
        <w:jc w:val="both"/>
      </w:pPr>
      <w:r>
        <w:t>revogação do consentimento;</w:t>
      </w:r>
    </w:p>
    <w:p>
      <w:pPr>
        <w:pStyle w:val="ListBullet"/>
        <w:spacing w:after="40"/>
        <w:jc w:val="both"/>
      </w:pPr>
      <w:r>
        <w:t>petição à Autoridade Nacional de Proteção de Dados (ANPD).</w:t>
      </w:r>
    </w:p>
    <w:p>
      <w:r>
        <w:rPr>
          <w:sz w:val="19"/>
        </w:rPr>
        <w:t xml:space="preserve">Responderemos em até </w:t>
      </w:r>
      <w:r>
        <w:rPr>
          <w:color w:val="B87F00"/>
          <w:sz w:val="19"/>
        </w:rPr>
        <w:t>[15]</w:t>
      </w:r>
      <w:r>
        <w:rPr>
          <w:sz w:val="19"/>
        </w:rPr>
        <w:t xml:space="preserve"> dias. Podemos solicitar informações para confirmar sua identidade.</w:t>
      </w:r>
    </w:p>
    <w:p>
      <w:pPr>
        <w:pStyle w:val="Heading1"/>
      </w:pPr>
      <w:r>
        <w:t>8. Encarregado e contato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Encarregado (DPO)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DO ENCARREGADO OU CANAL RESPONSÁVEL]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 DE PRIVACIDADE]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</w:tr>
    </w:tbl>
    <w:p>
      <w:pPr>
        <w:spacing w:before="80"/>
      </w:pPr>
      <w:r>
        <w:rPr>
          <w:color w:val="4E5864"/>
          <w:sz w:val="18"/>
        </w:rPr>
        <w:t xml:space="preserve">Agentes de tratamento de pequeno porte podem ser dispensados de indicar encarregado, devendo manter canal de comunicação com o titular (Resolução CD/ANPD nº 2/2022) </w:t>
      </w:r>
      <w:r>
        <w:rPr>
          <w:color w:val="B87F00"/>
          <w:sz w:val="18"/>
        </w:rPr>
        <w:t>[VERIFICAR enquadramento e norma vigente]</w:t>
      </w:r>
      <w:r>
        <w:rPr>
          <w:color w:val="4E5864"/>
          <w:sz w:val="18"/>
        </w:rPr>
        <w:t>.</w:t>
      </w:r>
    </w:p>
    <w:p>
      <w:pPr>
        <w:pStyle w:val="Heading1"/>
      </w:pPr>
      <w:r>
        <w:t>9. Atualizações</w:t>
      </w:r>
    </w:p>
    <w:p>
      <w:pPr>
        <w:jc w:val="both"/>
      </w:pPr>
      <w:r>
        <w:t xml:space="preserve">Este aviso pode ser atualizado. A versão vigente fica disponível em </w:t>
      </w:r>
      <w:r>
        <w:rPr>
          <w:color w:val="B87F00"/>
        </w:rPr>
        <w:t>[SITE OU LINK]</w:t>
      </w:r>
      <w:r>
        <w:t xml:space="preserve"> e pode ser solicitada pelo WhatsApp.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