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134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p>
      <w:pPr>
        <w:spacing w:after="40" w:before="200"/>
      </w:pPr>
      <w:r>
        <w:rPr>
          <w:b/>
          <w:color w:val="0F1318"/>
          <w:sz w:val="34"/>
        </w:rPr>
        <w:t>POLÍTICA DE CLASSIFICAÇÃO DOS LAUDOS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Como classificamos cada achado e o resultado de cada vistoria cautelar. Publicada para que você saiba, antes de contratar, exatamente qual critério será usado.</w:t>
      </w:r>
    </w:p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1. Por que publicamos este critério</w:t>
      </w:r>
    </w:p>
    <w:p>
      <w:pPr>
        <w:jc w:val="both"/>
      </w:pPr>
      <w:r>
        <w:t>Uma vistoria só é útil se o critério for o mesmo para todos os veículos e todos os clientes. Por isso usamos uma escala fixa de níveis e uma regra fixa de resultado, iguais para compradores, vendedores e lojas. Ninguém paga para mudar uma classificação.</w:t>
      </w:r>
    </w:p>
    <w:p>
      <w:pPr>
        <w:pStyle w:val="Heading1"/>
      </w:pPr>
      <w:r>
        <w:t>2. Os níveis de cada achado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737"/>
        <w:gridCol w:w="1644"/>
        <w:gridCol w:w="3175"/>
        <w:gridCol w:w="4082"/>
      </w:tblGrid>
      <w:tr>
        <w:trPr>
          <w:cantSplit/>
          <w:tblHeader/>
        </w:trPr>
        <w:tc>
          <w:tcPr>
            <w:tcW w:type="dxa" w:w="737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Nível</w:t>
            </w:r>
          </w:p>
        </w:tc>
        <w:tc>
          <w:tcPr>
            <w:tcW w:type="dxa" w:w="1644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Nome</w:t>
            </w:r>
          </w:p>
        </w:tc>
        <w:tc>
          <w:tcPr>
            <w:tcW w:type="dxa" w:w="3175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O que significa</w:t>
            </w:r>
          </w:p>
        </w:tc>
        <w:tc>
          <w:tcPr>
            <w:tcW w:type="dxa" w:w="4082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Exemplos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2E9E5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N0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Conforme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8"/>
              </w:rPr>
              <w:t>Sem anormalidade observável.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Item sem anormalidade observável.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6B8FB3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N1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8"/>
              </w:rPr>
              <w:t>Observação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8"/>
              </w:rPr>
              <w:t>Desgaste natural, estético leve ou manutenção de rotina.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Riscos superficiais; pneu com metade da vida útil; pastilha de freio a meia vida.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0A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N2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8"/>
              </w:rPr>
              <w:t>Apontamento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8"/>
              </w:rPr>
              <w:t>Repintura, peça de revestimento substituída ou reparada, manutenção necessária em breve.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Porta repintada; para-lama substituído; vazamento leve.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0661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N3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8"/>
              </w:rPr>
              <w:t>Apontamento relevante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8"/>
              </w:rPr>
              <w:t>Reparo que indica impacto significativo, reparo em área de absorção, item de segurança fora de condição ou falha funcional relevante.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Painel frontal substituído; ponteira de longarina reparada; pneu abaixo do indicador de desgaste; luz de airbag acesa.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C6282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N4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>
              <w:rPr>
                <w:sz w:val="18"/>
              </w:rPr>
              <w:t>Crítico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sz w:val="18"/>
              </w:rPr>
              <w:t>Dano ou reparo em estrutura de sustentação, indícios de enchente ou incêndio, divergência na identificação veicular.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sz w:val="18"/>
              </w:rPr>
              <w:t>Reparo em estrutura de sustentação (longarina, torre, coluna, soleira, assoalho, painel corta-fogo); sinais de enchente ou incêndio; divergência na identificação veicular.</w:t>
            </w:r>
          </w:p>
        </w:tc>
      </w:tr>
    </w:tbl>
    <w:p>
      <w:pPr>
        <w:spacing w:before="60"/>
      </w:pPr>
      <w:r>
        <w:rPr>
          <w:color w:val="4E5864"/>
          <w:sz w:val="18"/>
        </w:rPr>
        <w:t>NA = não se aplica ao veículo. NV = não verificado, sempre com o motivo.</w:t>
      </w:r>
    </w:p>
    <w:p>
      <w:pPr>
        <w:pStyle w:val="Heading1"/>
      </w:pPr>
      <w:r>
        <w:t>3. A regra do resultado final</w:t>
      </w:r>
    </w:p>
    <w:p>
      <w:pPr>
        <w:jc w:val="both"/>
      </w:pPr>
      <w:r>
        <w:t xml:space="preserve">Depois que todos os itens recebem um nível, o resultado é definido por esta matriz, </w:t>
      </w:r>
      <w:r>
        <w:rPr>
          <w:b/>
        </w:rPr>
        <w:t>sempre nesta ordem</w:t>
      </w:r>
      <w:r>
        <w:t>: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79" w:type="dxa"/>
          <w:left w:w="85" w:type="dxa"/>
          <w:bottom w:w="79" w:type="dxa"/>
          <w:right w:w="85" w:type="dxa"/>
        </w:tblCellMar>
        <w:tblLook w:firstColumn="1" w:firstRow="1" w:lastColumn="0" w:lastRow="0" w:noHBand="0" w:noVBand="1" w:val="04A0"/>
      </w:tblPr>
      <w:tblGrid>
        <w:gridCol w:w="198"/>
        <w:gridCol w:w="567"/>
        <w:gridCol w:w="3175"/>
        <w:gridCol w:w="5698"/>
      </w:tblGrid>
      <w:tr>
        <w:trPr>
          <w:cantSplit/>
        </w:trPr>
        <w:tc>
          <w:tcPr>
            <w:tcW w:type="dxa" w:w="198"/>
            <w:shd w:val="clear" w:color="auto" w:fill="5A6472"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22"/>
              </w:rPr>
              <w:t>1º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22"/>
              </w:rPr>
              <w:t>INCONCLUSIVO</w:t>
            </w:r>
          </w:p>
        </w:tc>
        <w:tc>
          <w:tcPr>
            <w:tcW w:type="dxa" w:w="5698"/>
            <w:vAlign w:val="center"/>
          </w:tcPr>
          <w:p>
            <w:pPr>
              <w:spacing w:after="0"/>
            </w:pPr>
            <w:r>
              <w:rPr>
                <w:sz w:val="19"/>
              </w:rPr>
              <w:t>Algum item de identificação não pôde ser verificado.</w:t>
            </w:r>
          </w:p>
        </w:tc>
      </w:tr>
      <w:tr>
        <w:trPr>
          <w:cantSplit/>
        </w:trPr>
        <w:tc>
          <w:tcPr>
            <w:tcW w:type="dxa" w:w="198"/>
            <w:shd w:val="clear" w:color="auto" w:fill="C62828"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22"/>
              </w:rPr>
              <w:t>2º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22"/>
              </w:rPr>
              <w:t>REPROVADO</w:t>
            </w:r>
          </w:p>
        </w:tc>
        <w:tc>
          <w:tcPr>
            <w:tcW w:type="dxa" w:w="5698"/>
            <w:vAlign w:val="center"/>
          </w:tcPr>
          <w:p>
            <w:pPr>
              <w:spacing w:after="0"/>
            </w:pPr>
            <w:r>
              <w:rPr>
                <w:sz w:val="19"/>
              </w:rPr>
              <w:t>Pelo menos um achado N4.</w:t>
            </w:r>
          </w:p>
        </w:tc>
      </w:tr>
      <w:tr>
        <w:trPr>
          <w:cantSplit/>
        </w:trPr>
        <w:tc>
          <w:tcPr>
            <w:tcW w:type="dxa" w:w="198"/>
            <w:shd w:val="clear" w:color="auto" w:fill="E0A100"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22"/>
              </w:rPr>
              <w:t>3º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22"/>
              </w:rPr>
              <w:t>APROVADO COM APONTAMENTOS</w:t>
            </w:r>
          </w:p>
        </w:tc>
        <w:tc>
          <w:tcPr>
            <w:tcW w:type="dxa" w:w="5698"/>
            <w:vAlign w:val="center"/>
          </w:tcPr>
          <w:p>
            <w:pPr>
              <w:spacing w:after="0"/>
            </w:pPr>
            <w:r>
              <w:rPr>
                <w:sz w:val="19"/>
              </w:rPr>
              <w:t>Pelo menos um achado N2 ou N3 (N3 em destaque).</w:t>
            </w:r>
          </w:p>
        </w:tc>
      </w:tr>
      <w:tr>
        <w:trPr>
          <w:cantSplit/>
        </w:trPr>
        <w:tc>
          <w:tcPr>
            <w:tcW w:type="dxa" w:w="198"/>
            <w:shd w:val="clear" w:color="auto" w:fill="2E9E5B"/>
            <w:vAlign w:val="center"/>
          </w:tcPr>
          <w:p/>
        </w:tc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4E5864"/>
                <w:sz w:val="22"/>
              </w:rPr>
              <w:t>4º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22"/>
              </w:rPr>
              <w:t>APROVADO</w:t>
            </w:r>
          </w:p>
        </w:tc>
        <w:tc>
          <w:tcPr>
            <w:tcW w:type="dxa" w:w="5698"/>
            <w:vAlign w:val="center"/>
          </w:tcPr>
          <w:p>
            <w:pPr>
              <w:spacing w:after="0"/>
            </w:pPr>
            <w:r>
              <w:rPr>
                <w:sz w:val="19"/>
              </w:rPr>
              <w:t>Somente achados N0 ou N1.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ListBullet"/>
        <w:spacing w:after="40"/>
        <w:jc w:val="both"/>
      </w:pPr>
      <w:r>
        <w:rPr>
          <w:b/>
        </w:rPr>
        <w:t>INCONCLUSIVO</w:t>
      </w:r>
      <w:r>
        <w:t xml:space="preserve"> vem primeiro: se não foi possível verificar a identificação do veículo, o laudo não conclui e explica o motivo e o que seria necessário para concluir.</w:t>
      </w:r>
    </w:p>
    <w:p>
      <w:pPr>
        <w:pStyle w:val="ListBullet"/>
        <w:spacing w:after="40"/>
        <w:jc w:val="both"/>
      </w:pPr>
      <w:r>
        <w:rPr>
          <w:b/>
        </w:rPr>
        <w:t>N3</w:t>
      </w:r>
      <w:r>
        <w:t xml:space="preserve"> aparece em destaque "Atenção" no laudo, mesmo quando o resultado é Aprovado com apontamentos.</w:t>
      </w:r>
    </w:p>
    <w:p>
      <w:pPr>
        <w:pStyle w:val="ListBullet"/>
        <w:spacing w:after="40"/>
        <w:jc w:val="both"/>
      </w:pPr>
      <w:r>
        <w:t>Divergência na identificação veicular é registrada como fato observado. Não concluímos sobre adulteração: orientamos a procurar a perícia oficial ou a autoridade competente.</w:t>
      </w:r>
    </w:p>
    <w:p>
      <w:pPr>
        <w:pStyle w:val="Heading1"/>
      </w:pPr>
      <w:r>
        <w:t>4. O que "Aprovado" significa – e o que não significa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Significa</w:t>
            </w:r>
          </w:p>
        </w:tc>
        <w:tc>
          <w:tcPr>
            <w:tcW w:type="dxa" w:w="481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8"/>
              </w:rPr>
              <w:t>Não significa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9"/>
              </w:rPr>
              <w:t>O veículo não apresentou achados N2, N3 ou N4 no exame técnico visual realizado naquele momento.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9"/>
              </w:rPr>
              <w:t>Que a compra está aprovada, que o veículo tem garantia ou que não há vícios ocultos.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9"/>
              </w:rPr>
              <w:t>Os itens foram examinados segundo o método e os limites descritos no laudo.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9"/>
              </w:rPr>
              <w:t>Que o laudo substitui a vistoria oficial de transferência ou uma perícia.</w:t>
            </w:r>
          </w:p>
        </w:tc>
      </w:tr>
    </w:tbl>
    <w:p>
      <w:pPr>
        <w:pStyle w:val="Heading1"/>
      </w:pPr>
      <w:r>
        <w:t>5. Como registramos</w:t>
      </w:r>
    </w:p>
    <w:p>
      <w:pPr>
        <w:pStyle w:val="ListBullet"/>
        <w:spacing w:after="40"/>
        <w:jc w:val="both"/>
      </w:pPr>
      <w:r>
        <w:t>Cada achado tem código do item, nível, descrição objetiva e, quando aplicável, fotografia.</w:t>
      </w:r>
    </w:p>
    <w:p>
      <w:pPr>
        <w:pStyle w:val="ListBullet"/>
        <w:spacing w:after="40"/>
        <w:jc w:val="both"/>
      </w:pPr>
      <w:r>
        <w:t>Valores de medição (espessura de pintura, bateria, pneus) são orientativos e variam por fabricante; a conclusão considera o conjunto de evidências.</w:t>
      </w:r>
    </w:p>
    <w:p>
      <w:pPr>
        <w:pStyle w:val="ListBullet"/>
        <w:spacing w:after="40"/>
        <w:jc w:val="both"/>
      </w:pPr>
      <w:r>
        <w:t>As consultas informam fonte, data e hora, e dependem das bases consultadas.</w:t>
      </w:r>
    </w:p>
    <w:p>
      <w:pPr>
        <w:pStyle w:val="Heading1"/>
      </w:pPr>
      <w:r>
        <w:t>6. Independência e revisão</w:t>
      </w:r>
    </w:p>
    <w:p>
      <w:pPr>
        <w:pStyle w:val="ListBullet"/>
        <w:spacing w:after="40"/>
        <w:jc w:val="both"/>
      </w:pPr>
      <w:r>
        <w:t>Lojas parceiras, vendedores e intermediários não interferem na classificação. Descontos ou volumes não dependem do resultado.</w:t>
      </w:r>
    </w:p>
    <w:p>
      <w:pPr>
        <w:pStyle w:val="ListBullet"/>
        <w:spacing w:after="40"/>
        <w:jc w:val="both"/>
      </w:pPr>
      <w:r>
        <w:t xml:space="preserve">Se você discordar de um achado, peça uma revisão pelo </w:t>
      </w:r>
      <w:r>
        <w:rPr>
          <w:color w:val="B87F00"/>
        </w:rPr>
        <w:t>[WHATSAPP/E-MAIL]</w:t>
      </w:r>
      <w:r>
        <w:t>. Reexaminamos as evidências e respondemos por escrito.</w:t>
      </w:r>
    </w:p>
    <w:p>
      <w:pPr>
        <w:pStyle w:val="ListBullet"/>
        <w:spacing w:after="40"/>
        <w:jc w:val="both"/>
      </w:pPr>
      <w:r>
        <w:t>Se houver erro, emitimos laudo corrigido, com nova versão numerada e referência à anterior.</w:t>
      </w:r>
    </w:p>
    <w:p>
      <w:pPr>
        <w:spacing w:before="240"/>
        <w:jc w:val="center"/>
      </w:pPr>
      <w:r>
        <w:rPr>
          <w:color w:val="B87F00"/>
          <w:sz w:val="18"/>
        </w:rPr>
        <w:t>[NOME DA EMPRESA]</w:t>
      </w:r>
      <w:r>
        <w:rPr>
          <w:color w:val="4E5864"/>
          <w:sz w:val="18"/>
        </w:rPr>
        <w:t xml:space="preserve">  ·  </w:t>
      </w:r>
      <w:r>
        <w:rPr>
          <w:color w:val="B87F00"/>
          <w:sz w:val="18"/>
        </w:rPr>
        <w:t>[CIDADE/UF]</w:t>
      </w:r>
      <w:r>
        <w:rPr>
          <w:color w:val="4E5864"/>
          <w:sz w:val="18"/>
        </w:rPr>
        <w:t xml:space="preserve">  ·  </w:t>
      </w:r>
      <w:r>
        <w:rPr>
          <w:color w:val="B87F00"/>
          <w:sz w:val="18"/>
        </w:rPr>
        <w:t>[WHATSAPP]</w:t>
      </w:r>
      <w:r>
        <w:rPr>
          <w:color w:val="4E5864"/>
          <w:sz w:val="18"/>
        </w:rPr>
        <w:t xml:space="preserve">  ·  Vigente desde </w:t>
      </w:r>
      <w:r>
        <w:rPr>
          <w:color w:val="B87F00"/>
          <w:sz w:val="18"/>
        </w:rPr>
        <w:t>[DD/MM/AAAA]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 xml:space="preserve">  ·  Política de Classificação  ·  versão </w:t>
    </w:r>
    <w:r>
      <w:rPr>
        <w:color w:val="B87F00"/>
        <w:sz w:val="16"/>
      </w:rPr>
      <w:t>[1.0]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