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60"/>
      </w:pPr>
      <w:r>
        <w:rPr>
          <w:rFonts w:ascii="Arial" w:cs="Arial" w:eastAsia="Arial" w:hAnsi="Arial"/>
          <w:b/>
          <w:bCs/>
          <w:color w:val="1F3864"/>
          <w:sz w:val="48"/>
          <w:szCs w:val="48"/>
        </w:rPr>
        <w:t xml:space="preserve">Change Management Log</w:t>
      </w:r>
    </w:p>
    <w:p>
      <w:pPr>
        <w:spacing w:before="0" w:after="60"/>
      </w:pPr>
      <w:r>
        <w:rPr>
          <w:rFonts w:ascii="Arial" w:cs="Arial" w:eastAsia="Arial" w:hAnsi="Arial"/>
          <w:color w:val="2E5FA3"/>
          <w:sz w:val="28"/>
          <w:szCs w:val="28"/>
        </w:rPr>
        <w:t xml:space="preserve">Firewall Hardening — All Three Network Zones</w:t>
      </w:r>
    </w:p>
    <w:p>
      <w:pPr>
        <w:pBdr>
          <w:bottom w:val="single" w:color="2E5FA3" w:sz="12" w:space="6"/>
        </w:pBdr>
        <w:spacing w:before="0" w:after="300"/>
      </w:pPr>
      <w:r>
        <w:t xml:space="preserve"/>
      </w:r>
    </w:p>
    <w:p>
      <w:pPr>
        <w:pBdr>
          <w:bottom w:val="single" w:color="2E5FA3" w:sz="8" w:space="4"/>
        </w:pBdr>
        <w:spacing w:before="280" w:after="100"/>
      </w:pPr>
      <w:r>
        <w:rPr>
          <w:rFonts w:ascii="Arial" w:cs="Arial" w:eastAsia="Arial" w:hAnsi="Arial"/>
          <w:b/>
          <w:bCs/>
          <w:color w:val="1F3864"/>
          <w:sz w:val="26"/>
          <w:szCs w:val="26"/>
        </w:rPr>
        <w:t xml:space="preserve">1. Change Details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BFD4" w:sz="1"/>
              <w:left w:val="single" w:color="AABFD4" w:sz="1"/>
              <w:bottom w:val="single" w:color="AABFD4" w:sz="1"/>
              <w:right w:val="single" w:color="AABFD4" w:sz="1"/>
            </w:tcBorders>
            <w:shd w:fill="D6E4F0" w:val="clear"/>
            <w:tcMar>
              <w:top w:type="dxa" w:w="80"/>
              <w:left w:type="dxa" w:w="150"/>
              <w:bottom w:type="dxa" w:w="80"/>
              <w:right w:type="dxa" w:w="150"/>
            </w:tcMar>
          </w:tcPr>
          <w:p>
            <w:r>
              <w:rPr>
                <w:rFonts w:ascii="Arial" w:cs="Arial" w:eastAsia="Arial" w:hAnsi="Arial"/>
                <w:b/>
                <w:bCs/>
                <w:color w:val="1F3864"/>
                <w:sz w:val="18"/>
                <w:szCs w:val="18"/>
              </w:rPr>
              <w:t xml:space="preserve">Change ID</w:t>
            </w:r>
          </w:p>
        </w:tc>
        <w:tc>
          <w:tcPr>
            <w:tcW w:type="dxa" w:w="6960"/>
            <w:tcBorders>
              <w:top w:val="single" w:color="AABFD4" w:sz="1"/>
              <w:left w:val="single" w:color="AABFD4" w:sz="1"/>
              <w:bottom w:val="single" w:color="AABFD4" w:sz="1"/>
              <w:right w:val="single" w:color="AABFD4" w:sz="1"/>
            </w:tcBorders>
            <w:shd w:fill="FFFFFF" w:val="clear"/>
            <w:tcMar>
              <w:top w:type="dxa" w:w="80"/>
              <w:left w:type="dxa" w:w="150"/>
              <w:bottom w:type="dxa" w:w="80"/>
              <w:right w:type="dxa" w:w="150"/>
            </w:tcMar>
          </w:tcPr>
          <w:p>
            <w:r>
              <w:rPr>
                <w:rFonts w:ascii="Arial" w:cs="Arial" w:eastAsia="Arial" w:hAnsi="Arial"/>
                <w:sz w:val="18"/>
                <w:szCs w:val="18"/>
              </w:rPr>
              <w:t xml:space="preserve">CHG-2026-010</w:t>
            </w:r>
          </w:p>
        </w:tc>
      </w:tr>
      <w:tr>
        <w:tc>
          <w:tcPr>
            <w:tcW w:type="dxa" w:w="2400"/>
            <w:tcBorders>
              <w:top w:val="single" w:color="AABFD4" w:sz="1"/>
              <w:left w:val="single" w:color="AABFD4" w:sz="1"/>
              <w:bottom w:val="single" w:color="AABFD4" w:sz="1"/>
              <w:right w:val="single" w:color="AABFD4" w:sz="1"/>
            </w:tcBorders>
            <w:shd w:fill="D6E4F0" w:val="clear"/>
            <w:tcMar>
              <w:top w:type="dxa" w:w="80"/>
              <w:left w:type="dxa" w:w="150"/>
              <w:bottom w:type="dxa" w:w="80"/>
              <w:right w:type="dxa" w:w="150"/>
            </w:tcMar>
          </w:tcPr>
          <w:p>
            <w:r>
              <w:rPr>
                <w:rFonts w:ascii="Arial" w:cs="Arial" w:eastAsia="Arial" w:hAnsi="Arial"/>
                <w:b/>
                <w:bCs/>
                <w:color w:val="1F3864"/>
                <w:sz w:val="18"/>
                <w:szCs w:val="18"/>
              </w:rPr>
              <w:t xml:space="preserve">Change Title</w:t>
            </w:r>
          </w:p>
        </w:tc>
        <w:tc>
          <w:tcPr>
            <w:tcW w:type="dxa" w:w="6960"/>
            <w:tcBorders>
              <w:top w:val="single" w:color="AABFD4" w:sz="1"/>
              <w:left w:val="single" w:color="AABFD4" w:sz="1"/>
              <w:bottom w:val="single" w:color="AABFD4" w:sz="1"/>
              <w:right w:val="single" w:color="AABFD4" w:sz="1"/>
            </w:tcBorders>
            <w:shd w:fill="F2F2F2" w:val="clear"/>
            <w:tcMar>
              <w:top w:type="dxa" w:w="80"/>
              <w:left w:type="dxa" w:w="150"/>
              <w:bottom w:type="dxa" w:w="80"/>
              <w:right w:type="dxa" w:w="150"/>
            </w:tcMar>
          </w:tcPr>
          <w:p>
            <w:r>
              <w:rPr>
                <w:rFonts w:ascii="Arial" w:cs="Arial" w:eastAsia="Arial" w:hAnsi="Arial"/>
                <w:sz w:val="18"/>
                <w:szCs w:val="18"/>
              </w:rPr>
              <w:t xml:space="preserve">Firewall Hardening — All Three Zones (Servers / Clients / Attack-DMZ)</w:t>
            </w:r>
          </w:p>
        </w:tc>
      </w:tr>
      <w:tr>
        <w:tc>
          <w:tcPr>
            <w:tcW w:type="dxa" w:w="2400"/>
            <w:tcBorders>
              <w:top w:val="single" w:color="AABFD4" w:sz="1"/>
              <w:left w:val="single" w:color="AABFD4" w:sz="1"/>
              <w:bottom w:val="single" w:color="AABFD4" w:sz="1"/>
              <w:right w:val="single" w:color="AABFD4" w:sz="1"/>
            </w:tcBorders>
            <w:shd w:fill="D6E4F0" w:val="clear"/>
            <w:tcMar>
              <w:top w:type="dxa" w:w="80"/>
              <w:left w:type="dxa" w:w="150"/>
              <w:bottom w:type="dxa" w:w="80"/>
              <w:right w:type="dxa" w:w="150"/>
            </w:tcMar>
          </w:tcPr>
          <w:p>
            <w:r>
              <w:rPr>
                <w:rFonts w:ascii="Arial" w:cs="Arial" w:eastAsia="Arial" w:hAnsi="Arial"/>
                <w:b/>
                <w:bCs/>
                <w:color w:val="1F3864"/>
                <w:sz w:val="18"/>
                <w:szCs w:val="18"/>
              </w:rPr>
              <w:t xml:space="preserve">Initiated By</w:t>
            </w:r>
          </w:p>
        </w:tc>
        <w:tc>
          <w:tcPr>
            <w:tcW w:type="dxa" w:w="6960"/>
            <w:tcBorders>
              <w:top w:val="single" w:color="AABFD4" w:sz="1"/>
              <w:left w:val="single" w:color="AABFD4" w:sz="1"/>
              <w:bottom w:val="single" w:color="AABFD4" w:sz="1"/>
              <w:right w:val="single" w:color="AABFD4" w:sz="1"/>
            </w:tcBorders>
            <w:shd w:fill="FFFFFF" w:val="clear"/>
            <w:tcMar>
              <w:top w:type="dxa" w:w="80"/>
              <w:left w:type="dxa" w:w="150"/>
              <w:bottom w:type="dxa" w:w="80"/>
              <w:right w:type="dxa" w:w="150"/>
            </w:tcMar>
          </w:tcPr>
          <w:p>
            <w:r>
              <w:rPr>
                <w:rFonts w:ascii="Arial" w:cs="Arial" w:eastAsia="Arial" w:hAnsi="Arial"/>
                <w:sz w:val="18"/>
                <w:szCs w:val="18"/>
              </w:rPr>
              <w:t xml:space="preserve">Lab Administrator</w:t>
            </w:r>
          </w:p>
        </w:tc>
      </w:tr>
      <w:tr>
        <w:tc>
          <w:tcPr>
            <w:tcW w:type="dxa" w:w="2400"/>
            <w:tcBorders>
              <w:top w:val="single" w:color="AABFD4" w:sz="1"/>
              <w:left w:val="single" w:color="AABFD4" w:sz="1"/>
              <w:bottom w:val="single" w:color="AABFD4" w:sz="1"/>
              <w:right w:val="single" w:color="AABFD4" w:sz="1"/>
            </w:tcBorders>
            <w:shd w:fill="D6E4F0" w:val="clear"/>
            <w:tcMar>
              <w:top w:type="dxa" w:w="80"/>
              <w:left w:type="dxa" w:w="150"/>
              <w:bottom w:type="dxa" w:w="80"/>
              <w:right w:type="dxa" w:w="150"/>
            </w:tcMar>
          </w:tcPr>
          <w:p>
            <w:r>
              <w:rPr>
                <w:rFonts w:ascii="Arial" w:cs="Arial" w:eastAsia="Arial" w:hAnsi="Arial"/>
                <w:b/>
                <w:bCs/>
                <w:color w:val="1F3864"/>
                <w:sz w:val="18"/>
                <w:szCs w:val="18"/>
              </w:rPr>
              <w:t xml:space="preserve">Date Submitted</w:t>
            </w:r>
          </w:p>
        </w:tc>
        <w:tc>
          <w:tcPr>
            <w:tcW w:type="dxa" w:w="6960"/>
            <w:tcBorders>
              <w:top w:val="single" w:color="AABFD4" w:sz="1"/>
              <w:left w:val="single" w:color="AABFD4" w:sz="1"/>
              <w:bottom w:val="single" w:color="AABFD4" w:sz="1"/>
              <w:right w:val="single" w:color="AABFD4" w:sz="1"/>
            </w:tcBorders>
            <w:shd w:fill="F2F2F2" w:val="clear"/>
            <w:tcMar>
              <w:top w:type="dxa" w:w="80"/>
              <w:left w:type="dxa" w:w="150"/>
              <w:bottom w:type="dxa" w:w="80"/>
              <w:right w:type="dxa" w:w="150"/>
            </w:tcMar>
          </w:tcPr>
          <w:p>
            <w:r>
              <w:rPr>
                <w:rFonts w:ascii="Arial" w:cs="Arial" w:eastAsia="Arial" w:hAnsi="Arial"/>
                <w:sz w:val="18"/>
                <w:szCs w:val="18"/>
              </w:rPr>
              <w:t xml:space="preserve">February 28, 2026</w:t>
            </w:r>
          </w:p>
        </w:tc>
      </w:tr>
      <w:tr>
        <w:tc>
          <w:tcPr>
            <w:tcW w:type="dxa" w:w="2400"/>
            <w:tcBorders>
              <w:top w:val="single" w:color="AABFD4" w:sz="1"/>
              <w:left w:val="single" w:color="AABFD4" w:sz="1"/>
              <w:bottom w:val="single" w:color="AABFD4" w:sz="1"/>
              <w:right w:val="single" w:color="AABFD4" w:sz="1"/>
            </w:tcBorders>
            <w:shd w:fill="D6E4F0" w:val="clear"/>
            <w:tcMar>
              <w:top w:type="dxa" w:w="80"/>
              <w:left w:type="dxa" w:w="150"/>
              <w:bottom w:type="dxa" w:w="80"/>
              <w:right w:type="dxa" w:w="150"/>
            </w:tcMar>
          </w:tcPr>
          <w:p>
            <w:r>
              <w:rPr>
                <w:rFonts w:ascii="Arial" w:cs="Arial" w:eastAsia="Arial" w:hAnsi="Arial"/>
                <w:b/>
                <w:bCs/>
                <w:color w:val="1F3864"/>
                <w:sz w:val="18"/>
                <w:szCs w:val="18"/>
              </w:rPr>
              <w:t xml:space="preserve">Implementation Date</w:t>
            </w:r>
          </w:p>
        </w:tc>
        <w:tc>
          <w:tcPr>
            <w:tcW w:type="dxa" w:w="6960"/>
            <w:tcBorders>
              <w:top w:val="single" w:color="AABFD4" w:sz="1"/>
              <w:left w:val="single" w:color="AABFD4" w:sz="1"/>
              <w:bottom w:val="single" w:color="AABFD4" w:sz="1"/>
              <w:right w:val="single" w:color="AABFD4" w:sz="1"/>
            </w:tcBorders>
            <w:shd w:fill="FFFFFF" w:val="clear"/>
            <w:tcMar>
              <w:top w:type="dxa" w:w="80"/>
              <w:left w:type="dxa" w:w="150"/>
              <w:bottom w:type="dxa" w:w="80"/>
              <w:right w:type="dxa" w:w="150"/>
            </w:tcMar>
          </w:tcPr>
          <w:p>
            <w:r>
              <w:rPr>
                <w:rFonts w:ascii="Arial" w:cs="Arial" w:eastAsia="Arial" w:hAnsi="Arial"/>
                <w:sz w:val="18"/>
                <w:szCs w:val="18"/>
              </w:rPr>
              <w:t xml:space="preserve">February 28, 2026</w:t>
            </w:r>
          </w:p>
        </w:tc>
      </w:tr>
      <w:tr>
        <w:tc>
          <w:tcPr>
            <w:tcW w:type="dxa" w:w="2400"/>
            <w:tcBorders>
              <w:top w:val="single" w:color="AABFD4" w:sz="1"/>
              <w:left w:val="single" w:color="AABFD4" w:sz="1"/>
              <w:bottom w:val="single" w:color="AABFD4" w:sz="1"/>
              <w:right w:val="single" w:color="AABFD4" w:sz="1"/>
            </w:tcBorders>
            <w:shd w:fill="D6E4F0" w:val="clear"/>
            <w:tcMar>
              <w:top w:type="dxa" w:w="80"/>
              <w:left w:type="dxa" w:w="150"/>
              <w:bottom w:type="dxa" w:w="80"/>
              <w:right w:type="dxa" w:w="150"/>
            </w:tcMar>
          </w:tcPr>
          <w:p>
            <w:r>
              <w:rPr>
                <w:rFonts w:ascii="Arial" w:cs="Arial" w:eastAsia="Arial" w:hAnsi="Arial"/>
                <w:b/>
                <w:bCs/>
                <w:color w:val="1F3864"/>
                <w:sz w:val="18"/>
                <w:szCs w:val="18"/>
              </w:rPr>
              <w:t xml:space="preserve">Environment</w:t>
            </w:r>
          </w:p>
        </w:tc>
        <w:tc>
          <w:tcPr>
            <w:tcW w:type="dxa" w:w="6960"/>
            <w:tcBorders>
              <w:top w:val="single" w:color="AABFD4" w:sz="1"/>
              <w:left w:val="single" w:color="AABFD4" w:sz="1"/>
              <w:bottom w:val="single" w:color="AABFD4" w:sz="1"/>
              <w:right w:val="single" w:color="AABFD4" w:sz="1"/>
            </w:tcBorders>
            <w:shd w:fill="F2F2F2" w:val="clear"/>
            <w:tcMar>
              <w:top w:type="dxa" w:w="80"/>
              <w:left w:type="dxa" w:w="150"/>
              <w:bottom w:type="dxa" w:w="80"/>
              <w:right w:type="dxa" w:w="150"/>
            </w:tcMar>
          </w:tcPr>
          <w:p>
            <w:r>
              <w:rPr>
                <w:rFonts w:ascii="Arial" w:cs="Arial" w:eastAsia="Arial" w:hAnsi="Arial"/>
                <w:sz w:val="18"/>
                <w:szCs w:val="18"/>
              </w:rPr>
              <w:t xml:space="preserve">Home Lab — lab.local (VMware Workstation Pro)</w:t>
            </w:r>
          </w:p>
        </w:tc>
      </w:tr>
      <w:tr>
        <w:tc>
          <w:tcPr>
            <w:tcW w:type="dxa" w:w="2400"/>
            <w:tcBorders>
              <w:top w:val="single" w:color="AABFD4" w:sz="1"/>
              <w:left w:val="single" w:color="AABFD4" w:sz="1"/>
              <w:bottom w:val="single" w:color="AABFD4" w:sz="1"/>
              <w:right w:val="single" w:color="AABFD4" w:sz="1"/>
            </w:tcBorders>
            <w:shd w:fill="D6E4F0" w:val="clear"/>
            <w:tcMar>
              <w:top w:type="dxa" w:w="80"/>
              <w:left w:type="dxa" w:w="150"/>
              <w:bottom w:type="dxa" w:w="80"/>
              <w:right w:type="dxa" w:w="150"/>
            </w:tcMar>
          </w:tcPr>
          <w:p>
            <w:r>
              <w:rPr>
                <w:rFonts w:ascii="Arial" w:cs="Arial" w:eastAsia="Arial" w:hAnsi="Arial"/>
                <w:b/>
                <w:bCs/>
                <w:color w:val="1F3864"/>
                <w:sz w:val="18"/>
                <w:szCs w:val="18"/>
              </w:rPr>
              <w:t xml:space="preserve">Firewall Platform</w:t>
            </w:r>
          </w:p>
        </w:tc>
        <w:tc>
          <w:tcPr>
            <w:tcW w:type="dxa" w:w="6960"/>
            <w:tcBorders>
              <w:top w:val="single" w:color="AABFD4" w:sz="1"/>
              <w:left w:val="single" w:color="AABFD4" w:sz="1"/>
              <w:bottom w:val="single" w:color="AABFD4" w:sz="1"/>
              <w:right w:val="single" w:color="AABFD4" w:sz="1"/>
            </w:tcBorders>
            <w:shd w:fill="FFFFFF" w:val="clear"/>
            <w:tcMar>
              <w:top w:type="dxa" w:w="80"/>
              <w:left w:type="dxa" w:w="150"/>
              <w:bottom w:type="dxa" w:w="80"/>
              <w:right w:type="dxa" w:w="150"/>
            </w:tcMar>
          </w:tcPr>
          <w:p>
            <w:r>
              <w:rPr>
                <w:rFonts w:ascii="Arial" w:cs="Arial" w:eastAsia="Arial" w:hAnsi="Arial"/>
                <w:sz w:val="18"/>
                <w:szCs w:val="18"/>
              </w:rPr>
              <w:t xml:space="preserve">pfSense 2.7.2 — SRV-FW01 (10.10.10.1 / 10.10.20.1 / 10.10.30.1)</w:t>
            </w:r>
          </w:p>
        </w:tc>
      </w:tr>
      <w:tr>
        <w:tc>
          <w:tcPr>
            <w:tcW w:type="dxa" w:w="2400"/>
            <w:tcBorders>
              <w:top w:val="single" w:color="AABFD4" w:sz="1"/>
              <w:left w:val="single" w:color="AABFD4" w:sz="1"/>
              <w:bottom w:val="single" w:color="AABFD4" w:sz="1"/>
              <w:right w:val="single" w:color="AABFD4" w:sz="1"/>
            </w:tcBorders>
            <w:shd w:fill="D6E4F0" w:val="clear"/>
            <w:tcMar>
              <w:top w:type="dxa" w:w="80"/>
              <w:left w:type="dxa" w:w="150"/>
              <w:bottom w:type="dxa" w:w="80"/>
              <w:right w:type="dxa" w:w="150"/>
            </w:tcMar>
          </w:tcPr>
          <w:p>
            <w:r>
              <w:rPr>
                <w:rFonts w:ascii="Arial" w:cs="Arial" w:eastAsia="Arial" w:hAnsi="Arial"/>
                <w:b/>
                <w:bCs/>
                <w:color w:val="1F3864"/>
                <w:sz w:val="18"/>
                <w:szCs w:val="18"/>
              </w:rPr>
              <w:t xml:space="preserve">Change Category</w:t>
            </w:r>
          </w:p>
        </w:tc>
        <w:tc>
          <w:tcPr>
            <w:tcW w:type="dxa" w:w="6960"/>
            <w:tcBorders>
              <w:top w:val="single" w:color="AABFD4" w:sz="1"/>
              <w:left w:val="single" w:color="AABFD4" w:sz="1"/>
              <w:bottom w:val="single" w:color="AABFD4" w:sz="1"/>
              <w:right w:val="single" w:color="AABFD4" w:sz="1"/>
            </w:tcBorders>
            <w:shd w:fill="F2F2F2" w:val="clear"/>
            <w:tcMar>
              <w:top w:type="dxa" w:w="80"/>
              <w:left w:type="dxa" w:w="150"/>
              <w:bottom w:type="dxa" w:w="80"/>
              <w:right w:type="dxa" w:w="150"/>
            </w:tcMar>
          </w:tcPr>
          <w:p>
            <w:r>
              <w:rPr>
                <w:rFonts w:ascii="Arial" w:cs="Arial" w:eastAsia="Arial" w:hAnsi="Arial"/>
                <w:sz w:val="18"/>
                <w:szCs w:val="18"/>
              </w:rPr>
              <w:t xml:space="preserve">Security — Network Access Control</w:t>
            </w:r>
          </w:p>
        </w:tc>
      </w:tr>
      <w:tr>
        <w:tc>
          <w:tcPr>
            <w:tcW w:type="dxa" w:w="2400"/>
            <w:tcBorders>
              <w:top w:val="single" w:color="AABFD4" w:sz="1"/>
              <w:left w:val="single" w:color="AABFD4" w:sz="1"/>
              <w:bottom w:val="single" w:color="AABFD4" w:sz="1"/>
              <w:right w:val="single" w:color="AABFD4" w:sz="1"/>
            </w:tcBorders>
            <w:shd w:fill="D6E4F0" w:val="clear"/>
            <w:tcMar>
              <w:top w:type="dxa" w:w="80"/>
              <w:left w:type="dxa" w:w="150"/>
              <w:bottom w:type="dxa" w:w="80"/>
              <w:right w:type="dxa" w:w="150"/>
            </w:tcMar>
          </w:tcPr>
          <w:p>
            <w:r>
              <w:rPr>
                <w:rFonts w:ascii="Arial" w:cs="Arial" w:eastAsia="Arial" w:hAnsi="Arial"/>
                <w:b/>
                <w:bCs/>
                <w:color w:val="1F3864"/>
                <w:sz w:val="18"/>
                <w:szCs w:val="18"/>
              </w:rPr>
              <w:t xml:space="preserve">Priority</w:t>
            </w:r>
          </w:p>
        </w:tc>
        <w:tc>
          <w:tcPr>
            <w:tcW w:type="dxa" w:w="6960"/>
            <w:tcBorders>
              <w:top w:val="single" w:color="AABFD4" w:sz="1"/>
              <w:left w:val="single" w:color="AABFD4" w:sz="1"/>
              <w:bottom w:val="single" w:color="AABFD4" w:sz="1"/>
              <w:right w:val="single" w:color="AABFD4" w:sz="1"/>
            </w:tcBorders>
            <w:shd w:fill="FFFFFF" w:val="clear"/>
            <w:tcMar>
              <w:top w:type="dxa" w:w="80"/>
              <w:left w:type="dxa" w:w="150"/>
              <w:bottom w:type="dxa" w:w="80"/>
              <w:right w:type="dxa" w:w="150"/>
            </w:tcMar>
          </w:tcPr>
          <w:p>
            <w:r>
              <w:rPr>
                <w:rFonts w:ascii="Arial" w:cs="Arial" w:eastAsia="Arial" w:hAnsi="Arial"/>
                <w:sz w:val="18"/>
                <w:szCs w:val="18"/>
              </w:rPr>
              <w:t xml:space="preserve">High</w:t>
            </w:r>
          </w:p>
        </w:tc>
      </w:tr>
      <w:tr>
        <w:tc>
          <w:tcPr>
            <w:tcW w:type="dxa" w:w="2400"/>
            <w:tcBorders>
              <w:top w:val="single" w:color="AABFD4" w:sz="1"/>
              <w:left w:val="single" w:color="AABFD4" w:sz="1"/>
              <w:bottom w:val="single" w:color="AABFD4" w:sz="1"/>
              <w:right w:val="single" w:color="AABFD4" w:sz="1"/>
            </w:tcBorders>
            <w:shd w:fill="D6E4F0" w:val="clear"/>
            <w:tcMar>
              <w:top w:type="dxa" w:w="80"/>
              <w:left w:type="dxa" w:w="150"/>
              <w:bottom w:type="dxa" w:w="80"/>
              <w:right w:type="dxa" w:w="150"/>
            </w:tcMar>
          </w:tcPr>
          <w:p>
            <w:r>
              <w:rPr>
                <w:rFonts w:ascii="Arial" w:cs="Arial" w:eastAsia="Arial" w:hAnsi="Arial"/>
                <w:b/>
                <w:bCs/>
                <w:color w:val="1F3864"/>
                <w:sz w:val="18"/>
                <w:szCs w:val="18"/>
              </w:rPr>
              <w:t xml:space="preserve">Change Type</w:t>
            </w:r>
          </w:p>
        </w:tc>
        <w:tc>
          <w:tcPr>
            <w:tcW w:type="dxa" w:w="6960"/>
            <w:tcBorders>
              <w:top w:val="single" w:color="AABFD4" w:sz="1"/>
              <w:left w:val="single" w:color="AABFD4" w:sz="1"/>
              <w:bottom w:val="single" w:color="AABFD4" w:sz="1"/>
              <w:right w:val="single" w:color="AABFD4" w:sz="1"/>
            </w:tcBorders>
            <w:shd w:fill="F2F2F2" w:val="clear"/>
            <w:tcMar>
              <w:top w:type="dxa" w:w="80"/>
              <w:left w:type="dxa" w:w="150"/>
              <w:bottom w:type="dxa" w:w="80"/>
              <w:right w:type="dxa" w:w="150"/>
            </w:tcMar>
          </w:tcPr>
          <w:p>
            <w:r>
              <w:rPr>
                <w:rFonts w:ascii="Arial" w:cs="Arial" w:eastAsia="Arial" w:hAnsi="Arial"/>
                <w:sz w:val="18"/>
                <w:szCs w:val="18"/>
              </w:rPr>
              <w:t xml:space="preserve">Standard (Planned)</w:t>
            </w:r>
          </w:p>
        </w:tc>
      </w:tr>
      <w:tr>
        <w:tc>
          <w:tcPr>
            <w:tcW w:type="dxa" w:w="2400"/>
            <w:tcBorders>
              <w:top w:val="single" w:color="AABFD4" w:sz="1"/>
              <w:left w:val="single" w:color="AABFD4" w:sz="1"/>
              <w:bottom w:val="single" w:color="AABFD4" w:sz="1"/>
              <w:right w:val="single" w:color="AABFD4" w:sz="1"/>
            </w:tcBorders>
            <w:shd w:fill="D6E4F0" w:val="clear"/>
            <w:tcMar>
              <w:top w:type="dxa" w:w="80"/>
              <w:left w:type="dxa" w:w="150"/>
              <w:bottom w:type="dxa" w:w="80"/>
              <w:right w:type="dxa" w:w="150"/>
            </w:tcMar>
          </w:tcPr>
          <w:p>
            <w:r>
              <w:rPr>
                <w:rFonts w:ascii="Arial" w:cs="Arial" w:eastAsia="Arial" w:hAnsi="Arial"/>
                <w:b/>
                <w:bCs/>
                <w:color w:val="1F3864"/>
                <w:sz w:val="18"/>
                <w:szCs w:val="18"/>
              </w:rPr>
              <w:t xml:space="preserve">Status</w:t>
            </w:r>
          </w:p>
        </w:tc>
        <w:tc>
          <w:tcPr>
            <w:tcW w:type="dxa" w:w="6960"/>
            <w:tcBorders>
              <w:top w:val="single" w:color="AABFD4" w:sz="1"/>
              <w:left w:val="single" w:color="AABFD4" w:sz="1"/>
              <w:bottom w:val="single" w:color="AABFD4" w:sz="1"/>
              <w:right w:val="single" w:color="AABFD4" w:sz="1"/>
            </w:tcBorders>
            <w:shd w:fill="FFFFFF" w:val="clear"/>
            <w:tcMar>
              <w:top w:type="dxa" w:w="80"/>
              <w:left w:type="dxa" w:w="150"/>
              <w:bottom w:type="dxa" w:w="80"/>
              <w:right w:type="dxa" w:w="150"/>
            </w:tcMar>
          </w:tcPr>
          <w:p>
            <w:r>
              <w:rPr>
                <w:rFonts w:ascii="Arial" w:cs="Arial" w:eastAsia="Arial" w:hAnsi="Arial"/>
                <w:sz w:val="18"/>
                <w:szCs w:val="18"/>
              </w:rPr>
              <w:t xml:space="preserve">Implemented — Verified</w:t>
            </w:r>
          </w:p>
        </w:tc>
      </w:tr>
    </w:tbl>
    <w:p>
      <w:pPr>
        <w:spacing w:before="200" w:after="80"/>
      </w:pPr>
      <w:r>
        <w:t xml:space="preserve"/>
      </w:r>
    </w:p>
    <w:p>
      <w:pPr>
        <w:pBdr>
          <w:bottom w:val="single" w:color="2E5FA3" w:sz="8" w:space="4"/>
        </w:pBdr>
        <w:spacing w:before="280" w:after="100"/>
      </w:pPr>
      <w:r>
        <w:rPr>
          <w:rFonts w:ascii="Arial" w:cs="Arial" w:eastAsia="Arial" w:hAnsi="Arial"/>
          <w:b/>
          <w:bCs/>
          <w:color w:val="1F3864"/>
          <w:sz w:val="26"/>
          <w:szCs w:val="26"/>
        </w:rPr>
        <w:t xml:space="preserve">2. Change Summary</w:t>
      </w:r>
    </w:p>
    <w:p>
      <w:pPr>
        <w:spacing w:before="60" w:after="60"/>
      </w:pPr>
      <w:r>
        <w:t xml:space="preserve"/>
      </w:r>
    </w:p>
    <w:p>
      <w:pPr>
        <w:spacing w:before="0" w:after="120"/>
      </w:pPr>
      <w:r>
        <w:rPr>
          <w:rFonts w:ascii="Arial" w:cs="Arial" w:eastAsia="Arial" w:hAnsi="Arial"/>
          <w:sz w:val="20"/>
          <w:szCs w:val="20"/>
        </w:rPr>
        <w:t xml:space="preserve">This change implements explicit firewall rules across all three network zones in the lab environment (Servers — VMnet10, Clients — VMnet11, Attack/DMZ — VMnet12) using pfSense 2.7.2. Prior to this change, inter-zone traffic was controlled only by pfSense default-deny on WAN with no explicit rules restricting lateral movement between internal zones.</w:t>
      </w:r>
    </w:p>
    <w:p>
      <w:pPr>
        <w:spacing w:before="0" w:after="120"/>
      </w:pPr>
      <w:r>
        <w:rPr>
          <w:rFonts w:ascii="Arial" w:cs="Arial" w:eastAsia="Arial" w:hAnsi="Arial"/>
          <w:sz w:val="20"/>
          <w:szCs w:val="20"/>
        </w:rPr>
        <w:t xml:space="preserve">The objective of this change is to enforce network segmentation consistent with enterprise security best practices, reduce the attack surface for lateral movement techniques (T1021), and ensure that the lab environment accurately reflects a hardened production network for SOC simulation and detection engineering purposes.</w:t>
      </w:r>
    </w:p>
    <w:p>
      <w:pPr>
        <w:spacing w:before="0" w:after="80"/>
      </w:pPr>
      <w:r>
        <w:rPr>
          <w:rFonts w:ascii="Arial" w:cs="Arial" w:eastAsia="Arial" w:hAnsi="Arial"/>
          <w:sz w:val="20"/>
          <w:szCs w:val="20"/>
        </w:rPr>
        <w:t xml:space="preserve">Ten firewall rules were created covering all inter-zone traffic paths. Each rule was risk-justified, applied with least-privilege intent, and verified through live testing with Wazuh SIEM monitoring active.</w:t>
      </w:r>
    </w:p>
    <w:p>
      <w:pPr>
        <w:spacing w:before="200" w:after="80"/>
      </w:pPr>
      <w:r>
        <w:t xml:space="preserve"/>
      </w:r>
    </w:p>
    <w:p>
      <w:pPr>
        <w:pBdr>
          <w:bottom w:val="single" w:color="2E5FA3" w:sz="8" w:space="4"/>
        </w:pBdr>
        <w:spacing w:before="280" w:after="100"/>
      </w:pPr>
      <w:r>
        <w:rPr>
          <w:rFonts w:ascii="Arial" w:cs="Arial" w:eastAsia="Arial" w:hAnsi="Arial"/>
          <w:b/>
          <w:bCs/>
          <w:color w:val="1F3864"/>
          <w:sz w:val="26"/>
          <w:szCs w:val="26"/>
        </w:rPr>
        <w:t xml:space="preserve">3. Scope of Change</w:t>
      </w:r>
    </w:p>
    <w:p>
      <w:pPr>
        <w:spacing w:before="60" w:after="60"/>
      </w:pPr>
      <w:r>
        <w:t xml:space="preserve"/>
      </w:r>
    </w:p>
    <w:p>
      <w:pPr>
        <w:spacing w:before="0" w:after="60"/>
      </w:pPr>
      <w:r>
        <w:rPr>
          <w:rFonts w:ascii="Arial" w:cs="Arial" w:eastAsia="Arial" w:hAnsi="Arial"/>
          <w:b/>
          <w:bCs/>
          <w:sz w:val="20"/>
          <w:szCs w:val="20"/>
        </w:rPr>
        <w:t xml:space="preserve">Systems Affected:</w:t>
      </w:r>
    </w:p>
    <w:p>
      <w:pPr>
        <w:pStyle w:val="ListParagraph"/>
        <w:numPr>
          <w:ilvl w:val="0"/>
          <w:numId w:val="2"/>
        </w:numPr>
        <w:spacing w:before="40" w:after="40"/>
      </w:pPr>
      <w:r>
        <w:rPr>
          <w:rFonts w:ascii="Arial" w:cs="Arial" w:eastAsia="Arial" w:hAnsi="Arial"/>
          <w:sz w:val="18"/>
          <w:szCs w:val="18"/>
        </w:rPr>
        <w:t xml:space="preserve">SRV-FW01 — pfSense 2.7.2 (primary change target — all rule additions)</w:t>
      </w:r>
    </w:p>
    <w:p>
      <w:pPr>
        <w:pStyle w:val="ListParagraph"/>
        <w:numPr>
          <w:ilvl w:val="0"/>
          <w:numId w:val="2"/>
        </w:numPr>
        <w:spacing w:before="40" w:after="40"/>
      </w:pPr>
      <w:r>
        <w:rPr>
          <w:rFonts w:ascii="Arial" w:cs="Arial" w:eastAsia="Arial" w:hAnsi="Arial"/>
          <w:sz w:val="18"/>
          <w:szCs w:val="18"/>
        </w:rPr>
        <w:t xml:space="preserve">ATT-KALI01 — 10.10.30.130 (Attack/DMZ zone — outbound traffic now restricted)</w:t>
      </w:r>
    </w:p>
    <w:p>
      <w:pPr>
        <w:pStyle w:val="ListParagraph"/>
        <w:numPr>
          <w:ilvl w:val="0"/>
          <w:numId w:val="2"/>
        </w:numPr>
        <w:spacing w:before="40" w:after="40"/>
      </w:pPr>
      <w:r>
        <w:rPr>
          <w:rFonts w:ascii="Arial" w:cs="Arial" w:eastAsia="Arial" w:hAnsi="Arial"/>
          <w:sz w:val="18"/>
          <w:szCs w:val="18"/>
        </w:rPr>
        <w:t xml:space="preserve">DMZ-VULN01 — 10.10.30.131 (Attack/DMZ zone — only reachable target from Attack zone)</w:t>
      </w:r>
    </w:p>
    <w:p>
      <w:pPr>
        <w:pStyle w:val="ListParagraph"/>
        <w:numPr>
          <w:ilvl w:val="0"/>
          <w:numId w:val="2"/>
        </w:numPr>
        <w:spacing w:before="40" w:after="40"/>
      </w:pPr>
      <w:r>
        <w:rPr>
          <w:rFonts w:ascii="Arial" w:cs="Arial" w:eastAsia="Arial" w:hAnsi="Arial"/>
          <w:sz w:val="18"/>
          <w:szCs w:val="18"/>
        </w:rPr>
        <w:t xml:space="preserve">CLI-WIN11-01 — 10.10.20.134 (Clients zone — restricted to AD auth ports toward Servers)</w:t>
      </w:r>
    </w:p>
    <w:p>
      <w:pPr>
        <w:pStyle w:val="ListParagraph"/>
        <w:numPr>
          <w:ilvl w:val="0"/>
          <w:numId w:val="2"/>
        </w:numPr>
        <w:spacing w:before="40" w:after="40"/>
      </w:pPr>
      <w:r>
        <w:rPr>
          <w:rFonts w:ascii="Arial" w:cs="Arial" w:eastAsia="Arial" w:hAnsi="Arial"/>
          <w:sz w:val="18"/>
          <w:szCs w:val="18"/>
        </w:rPr>
        <w:t xml:space="preserve">SRV-DC01, SRV-DB01, SRV-SIEM01 — 10.10.10.x (Servers zone — inbound from Attack zone blocked)</w:t>
      </w:r>
    </w:p>
    <w:p>
      <w:pPr>
        <w:spacing w:before="60" w:after="60"/>
      </w:pPr>
      <w:r>
        <w:t xml:space="preserve"/>
      </w:r>
    </w:p>
    <w:p>
      <w:pPr>
        <w:spacing w:before="0" w:after="60"/>
      </w:pPr>
      <w:r>
        <w:rPr>
          <w:rFonts w:ascii="Arial" w:cs="Arial" w:eastAsia="Arial" w:hAnsi="Arial"/>
          <w:b/>
          <w:bCs/>
          <w:sz w:val="20"/>
          <w:szCs w:val="20"/>
        </w:rPr>
        <w:t xml:space="preserve">Out of Scope:</w:t>
      </w:r>
    </w:p>
    <w:p>
      <w:pPr>
        <w:pStyle w:val="ListParagraph"/>
        <w:numPr>
          <w:ilvl w:val="0"/>
          <w:numId w:val="2"/>
        </w:numPr>
        <w:spacing w:before="40" w:after="40"/>
      </w:pPr>
      <w:r>
        <w:rPr>
          <w:rFonts w:ascii="Arial" w:cs="Arial" w:eastAsia="Arial" w:hAnsi="Arial"/>
          <w:sz w:val="18"/>
          <w:szCs w:val="18"/>
        </w:rPr>
        <w:t xml:space="preserve">Physical network infrastructure (TP-Link TL-SG108E — planned Phase 14)</w:t>
      </w:r>
    </w:p>
    <w:p>
      <w:pPr>
        <w:pStyle w:val="ListParagraph"/>
        <w:numPr>
          <w:ilvl w:val="0"/>
          <w:numId w:val="2"/>
        </w:numPr>
        <w:spacing w:before="40" w:after="40"/>
      </w:pPr>
      <w:r>
        <w:rPr>
          <w:rFonts w:ascii="Arial" w:cs="Arial" w:eastAsia="Arial" w:hAnsi="Arial"/>
          <w:sz w:val="18"/>
          <w:szCs w:val="18"/>
        </w:rPr>
        <w:t xml:space="preserve">WAN-side rules beyond default deny inbound</w:t>
      </w:r>
    </w:p>
    <w:p>
      <w:pPr>
        <w:pStyle w:val="ListParagraph"/>
        <w:numPr>
          <w:ilvl w:val="0"/>
          <w:numId w:val="2"/>
        </w:numPr>
        <w:spacing w:before="40" w:after="40"/>
      </w:pPr>
      <w:r>
        <w:rPr>
          <w:rFonts w:ascii="Arial" w:cs="Arial" w:eastAsia="Arial" w:hAnsi="Arial"/>
          <w:sz w:val="18"/>
          <w:szCs w:val="18"/>
        </w:rPr>
        <w:t xml:space="preserve">Application-layer (Layer 7) filtering</w:t>
      </w:r>
    </w:p>
    <w:p>
      <w:pPr>
        <w:spacing w:before="200" w:after="80"/>
      </w:pPr>
      <w:r>
        <w:t xml:space="preserve"/>
      </w:r>
    </w:p>
    <w:p>
      <w:pPr>
        <w:pBdr>
          <w:bottom w:val="single" w:color="2E5FA3" w:sz="8" w:space="4"/>
        </w:pBdr>
        <w:spacing w:before="280" w:after="100"/>
      </w:pPr>
      <w:r>
        <w:rPr>
          <w:rFonts w:ascii="Arial" w:cs="Arial" w:eastAsia="Arial" w:hAnsi="Arial"/>
          <w:b/>
          <w:bCs/>
          <w:color w:val="1F3864"/>
          <w:sz w:val="26"/>
          <w:szCs w:val="26"/>
        </w:rPr>
        <w:t xml:space="preserve">4. Firewall Rules Implemented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200"/>
        <w:gridCol w:w="1300"/>
        <w:gridCol w:w="1100"/>
        <w:gridCol w:w="800"/>
        <w:gridCol w:w="3860"/>
      </w:tblGrid>
      <w:tr>
        <w:trPr>
          <w:tblHeader/>
        </w:trPr>
        <w:tc>
          <w:tcPr>
            <w:tcW w:type="dxa" w:w="1100"/>
            <w:tcBorders>
              <w:top w:val="single" w:color="AABFD4" w:sz="1"/>
              <w:left w:val="single" w:color="AABFD4" w:sz="1"/>
              <w:bottom w:val="single" w:color="AABFD4" w:sz="1"/>
              <w:right w:val="single" w:color="AABFD4" w:sz="1"/>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18"/>
                <w:szCs w:val="18"/>
              </w:rPr>
              <w:t xml:space="preserve">Interface</w:t>
            </w:r>
          </w:p>
        </w:tc>
        <w:tc>
          <w:tcPr>
            <w:tcW w:type="dxa" w:w="1200"/>
            <w:tcBorders>
              <w:top w:val="single" w:color="AABFD4" w:sz="1"/>
              <w:left w:val="single" w:color="AABFD4" w:sz="1"/>
              <w:bottom w:val="single" w:color="AABFD4" w:sz="1"/>
              <w:right w:val="single" w:color="AABFD4" w:sz="1"/>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18"/>
                <w:szCs w:val="18"/>
              </w:rPr>
              <w:t xml:space="preserve">Source</w:t>
            </w:r>
          </w:p>
        </w:tc>
        <w:tc>
          <w:tcPr>
            <w:tcW w:type="dxa" w:w="1300"/>
            <w:tcBorders>
              <w:top w:val="single" w:color="AABFD4" w:sz="1"/>
              <w:left w:val="single" w:color="AABFD4" w:sz="1"/>
              <w:bottom w:val="single" w:color="AABFD4" w:sz="1"/>
              <w:right w:val="single" w:color="AABFD4" w:sz="1"/>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18"/>
                <w:szCs w:val="18"/>
              </w:rPr>
              <w:t xml:space="preserve">Destination</w:t>
            </w:r>
          </w:p>
        </w:tc>
        <w:tc>
          <w:tcPr>
            <w:tcW w:type="dxa" w:w="1100"/>
            <w:tcBorders>
              <w:top w:val="single" w:color="AABFD4" w:sz="1"/>
              <w:left w:val="single" w:color="AABFD4" w:sz="1"/>
              <w:bottom w:val="single" w:color="AABFD4" w:sz="1"/>
              <w:right w:val="single" w:color="AABFD4" w:sz="1"/>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18"/>
                <w:szCs w:val="18"/>
              </w:rPr>
              <w:t xml:space="preserve">Port / Proto</w:t>
            </w:r>
          </w:p>
        </w:tc>
        <w:tc>
          <w:tcPr>
            <w:tcW w:type="dxa" w:w="800"/>
            <w:tcBorders>
              <w:top w:val="single" w:color="AABFD4" w:sz="1"/>
              <w:left w:val="single" w:color="AABFD4" w:sz="1"/>
              <w:bottom w:val="single" w:color="AABFD4" w:sz="1"/>
              <w:right w:val="single" w:color="AABFD4" w:sz="1"/>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18"/>
                <w:szCs w:val="18"/>
              </w:rPr>
              <w:t xml:space="preserve">Action</w:t>
            </w:r>
          </w:p>
        </w:tc>
        <w:tc>
          <w:tcPr>
            <w:tcW w:type="dxa" w:w="3860"/>
            <w:tcBorders>
              <w:top w:val="single" w:color="AABFD4" w:sz="1"/>
              <w:left w:val="single" w:color="AABFD4" w:sz="1"/>
              <w:bottom w:val="single" w:color="AABFD4" w:sz="1"/>
              <w:right w:val="single" w:color="AABFD4" w:sz="1"/>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18"/>
                <w:szCs w:val="18"/>
              </w:rPr>
              <w:t xml:space="preserve">Justification / MITRE Ref</w:t>
            </w:r>
          </w:p>
        </w:tc>
      </w:tr>
      <w:tr>
        <w:tc>
          <w:tcPr>
            <w:tcW w:type="dxa" w:w="1100"/>
            <w:tcBorders>
              <w:top w:val="single" w:color="AABFD4" w:sz="1"/>
              <w:left w:val="single" w:color="AABFD4" w:sz="1"/>
              <w:bottom w:val="single" w:color="AABFD4" w:sz="1"/>
              <w:right w:val="single" w:color="AABFD4"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OPT2 (Attack)</w:t>
            </w:r>
          </w:p>
        </w:tc>
        <w:tc>
          <w:tcPr>
            <w:tcW w:type="dxa" w:w="1200"/>
            <w:tcBorders>
              <w:top w:val="single" w:color="AABFD4" w:sz="1"/>
              <w:left w:val="single" w:color="AABFD4" w:sz="1"/>
              <w:bottom w:val="single" w:color="AABFD4" w:sz="1"/>
              <w:right w:val="single" w:color="AABFD4"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10.10.30.0/24</w:t>
            </w:r>
          </w:p>
        </w:tc>
        <w:tc>
          <w:tcPr>
            <w:tcW w:type="dxa" w:w="1300"/>
            <w:tcBorders>
              <w:top w:val="single" w:color="AABFD4" w:sz="1"/>
              <w:left w:val="single" w:color="AABFD4" w:sz="1"/>
              <w:bottom w:val="single" w:color="AABFD4" w:sz="1"/>
              <w:right w:val="single" w:color="AABFD4"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10.10.30.131 only</w:t>
            </w:r>
          </w:p>
        </w:tc>
        <w:tc>
          <w:tcPr>
            <w:tcW w:type="dxa" w:w="1100"/>
            <w:tcBorders>
              <w:top w:val="single" w:color="AABFD4" w:sz="1"/>
              <w:left w:val="single" w:color="AABFD4" w:sz="1"/>
              <w:bottom w:val="single" w:color="AABFD4" w:sz="1"/>
              <w:right w:val="single" w:color="AABFD4"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Any</w:t>
            </w:r>
          </w:p>
        </w:tc>
        <w:tc>
          <w:tcPr>
            <w:tcW w:type="dxa" w:w="800"/>
            <w:tcBorders>
              <w:top w:val="single" w:color="AABFD4" w:sz="1"/>
              <w:left w:val="single" w:color="AABFD4" w:sz="1"/>
              <w:bottom w:val="single" w:color="AABFD4" w:sz="1"/>
              <w:right w:val="single" w:color="AABFD4" w:sz="1"/>
            </w:tcBorders>
            <w:shd w:fill="FFFFFF" w:val="clear"/>
            <w:tcMar>
              <w:top w:type="dxa" w:w="80"/>
              <w:left w:type="dxa" w:w="150"/>
              <w:bottom w:type="dxa" w:w="80"/>
              <w:right w:type="dxa" w:w="150"/>
            </w:tcMar>
            <w:vAlign w:val="center"/>
          </w:tcPr>
          <w:p>
            <w:pPr>
              <w:jc w:val="center"/>
            </w:pPr>
            <w:r>
              <w:rPr>
                <w:rFonts w:ascii="Arial" w:cs="Arial" w:eastAsia="Arial" w:hAnsi="Arial"/>
                <w:b/>
                <w:bCs/>
                <w:color w:val="1A6B1A"/>
                <w:sz w:val="18"/>
                <w:szCs w:val="18"/>
              </w:rPr>
              <w:t xml:space="preserve">PASS</w:t>
            </w:r>
          </w:p>
        </w:tc>
        <w:tc>
          <w:tcPr>
            <w:tcW w:type="dxa" w:w="3860"/>
            <w:tcBorders>
              <w:top w:val="single" w:color="AABFD4" w:sz="1"/>
              <w:left w:val="single" w:color="AABFD4" w:sz="1"/>
              <w:bottom w:val="single" w:color="AABFD4" w:sz="1"/>
              <w:right w:val="single" w:color="AABFD4"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Allow Attack zone → DMZ-VULN01 only — contains lateral movement to servers (T1021)</w:t>
            </w:r>
          </w:p>
        </w:tc>
      </w:tr>
      <w:tr>
        <w:tc>
          <w:tcPr>
            <w:tcW w:type="dxa" w:w="1100"/>
            <w:tcBorders>
              <w:top w:val="single" w:color="AABFD4" w:sz="1"/>
              <w:left w:val="single" w:color="AABFD4" w:sz="1"/>
              <w:bottom w:val="single" w:color="AABFD4" w:sz="1"/>
              <w:right w:val="single" w:color="AABFD4" w:sz="1"/>
            </w:tcBorders>
            <w:shd w:fill="EEF4FB"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OPT2 (Attack)</w:t>
            </w:r>
          </w:p>
        </w:tc>
        <w:tc>
          <w:tcPr>
            <w:tcW w:type="dxa" w:w="1200"/>
            <w:tcBorders>
              <w:top w:val="single" w:color="AABFD4" w:sz="1"/>
              <w:left w:val="single" w:color="AABFD4" w:sz="1"/>
              <w:bottom w:val="single" w:color="AABFD4" w:sz="1"/>
              <w:right w:val="single" w:color="AABFD4" w:sz="1"/>
            </w:tcBorders>
            <w:shd w:fill="EEF4FB"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10.10.30.0/24</w:t>
            </w:r>
          </w:p>
        </w:tc>
        <w:tc>
          <w:tcPr>
            <w:tcW w:type="dxa" w:w="1300"/>
            <w:tcBorders>
              <w:top w:val="single" w:color="AABFD4" w:sz="1"/>
              <w:left w:val="single" w:color="AABFD4" w:sz="1"/>
              <w:bottom w:val="single" w:color="AABFD4" w:sz="1"/>
              <w:right w:val="single" w:color="AABFD4" w:sz="1"/>
            </w:tcBorders>
            <w:shd w:fill="EEF4FB"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10.10.10.0/24</w:t>
            </w:r>
          </w:p>
        </w:tc>
        <w:tc>
          <w:tcPr>
            <w:tcW w:type="dxa" w:w="1100"/>
            <w:tcBorders>
              <w:top w:val="single" w:color="AABFD4" w:sz="1"/>
              <w:left w:val="single" w:color="AABFD4" w:sz="1"/>
              <w:bottom w:val="single" w:color="AABFD4" w:sz="1"/>
              <w:right w:val="single" w:color="AABFD4" w:sz="1"/>
            </w:tcBorders>
            <w:shd w:fill="EEF4FB"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Any</w:t>
            </w:r>
          </w:p>
        </w:tc>
        <w:tc>
          <w:tcPr>
            <w:tcW w:type="dxa" w:w="800"/>
            <w:tcBorders>
              <w:top w:val="single" w:color="AABFD4" w:sz="1"/>
              <w:left w:val="single" w:color="AABFD4" w:sz="1"/>
              <w:bottom w:val="single" w:color="AABFD4" w:sz="1"/>
              <w:right w:val="single" w:color="AABFD4" w:sz="1"/>
            </w:tcBorders>
            <w:shd w:fill="EEF4FB" w:val="clear"/>
            <w:tcMar>
              <w:top w:type="dxa" w:w="80"/>
              <w:left w:type="dxa" w:w="150"/>
              <w:bottom w:type="dxa" w:w="80"/>
              <w:right w:type="dxa" w:w="150"/>
            </w:tcMar>
            <w:vAlign w:val="center"/>
          </w:tcPr>
          <w:p>
            <w:pPr>
              <w:jc w:val="center"/>
            </w:pPr>
            <w:r>
              <w:rPr>
                <w:rFonts w:ascii="Arial" w:cs="Arial" w:eastAsia="Arial" w:hAnsi="Arial"/>
                <w:b/>
                <w:bCs/>
                <w:color w:val="8B0000"/>
                <w:sz w:val="18"/>
                <w:szCs w:val="18"/>
              </w:rPr>
              <w:t xml:space="preserve">BLOCK</w:t>
            </w:r>
          </w:p>
        </w:tc>
        <w:tc>
          <w:tcPr>
            <w:tcW w:type="dxa" w:w="3860"/>
            <w:tcBorders>
              <w:top w:val="single" w:color="AABFD4" w:sz="1"/>
              <w:left w:val="single" w:color="AABFD4" w:sz="1"/>
              <w:bottom w:val="single" w:color="AABFD4" w:sz="1"/>
              <w:right w:val="single" w:color="AABFD4" w:sz="1"/>
            </w:tcBorders>
            <w:shd w:fill="EEF4FB"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Block Attack → Servers zone — prevents T1021 lateral movement and T1046 internal recon</w:t>
            </w:r>
          </w:p>
        </w:tc>
      </w:tr>
      <w:tr>
        <w:tc>
          <w:tcPr>
            <w:tcW w:type="dxa" w:w="1100"/>
            <w:tcBorders>
              <w:top w:val="single" w:color="AABFD4" w:sz="1"/>
              <w:left w:val="single" w:color="AABFD4" w:sz="1"/>
              <w:bottom w:val="single" w:color="AABFD4" w:sz="1"/>
              <w:right w:val="single" w:color="AABFD4"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OPT2 (Attack)</w:t>
            </w:r>
          </w:p>
        </w:tc>
        <w:tc>
          <w:tcPr>
            <w:tcW w:type="dxa" w:w="1200"/>
            <w:tcBorders>
              <w:top w:val="single" w:color="AABFD4" w:sz="1"/>
              <w:left w:val="single" w:color="AABFD4" w:sz="1"/>
              <w:bottom w:val="single" w:color="AABFD4" w:sz="1"/>
              <w:right w:val="single" w:color="AABFD4"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10.10.30.0/24</w:t>
            </w:r>
          </w:p>
        </w:tc>
        <w:tc>
          <w:tcPr>
            <w:tcW w:type="dxa" w:w="1300"/>
            <w:tcBorders>
              <w:top w:val="single" w:color="AABFD4" w:sz="1"/>
              <w:left w:val="single" w:color="AABFD4" w:sz="1"/>
              <w:bottom w:val="single" w:color="AABFD4" w:sz="1"/>
              <w:right w:val="single" w:color="AABFD4"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10.10.20.0/24</w:t>
            </w:r>
          </w:p>
        </w:tc>
        <w:tc>
          <w:tcPr>
            <w:tcW w:type="dxa" w:w="1100"/>
            <w:tcBorders>
              <w:top w:val="single" w:color="AABFD4" w:sz="1"/>
              <w:left w:val="single" w:color="AABFD4" w:sz="1"/>
              <w:bottom w:val="single" w:color="AABFD4" w:sz="1"/>
              <w:right w:val="single" w:color="AABFD4"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Any</w:t>
            </w:r>
          </w:p>
        </w:tc>
        <w:tc>
          <w:tcPr>
            <w:tcW w:type="dxa" w:w="800"/>
            <w:tcBorders>
              <w:top w:val="single" w:color="AABFD4" w:sz="1"/>
              <w:left w:val="single" w:color="AABFD4" w:sz="1"/>
              <w:bottom w:val="single" w:color="AABFD4" w:sz="1"/>
              <w:right w:val="single" w:color="AABFD4" w:sz="1"/>
            </w:tcBorders>
            <w:shd w:fill="FFFFFF" w:val="clear"/>
            <w:tcMar>
              <w:top w:type="dxa" w:w="80"/>
              <w:left w:type="dxa" w:w="150"/>
              <w:bottom w:type="dxa" w:w="80"/>
              <w:right w:type="dxa" w:w="150"/>
            </w:tcMar>
            <w:vAlign w:val="center"/>
          </w:tcPr>
          <w:p>
            <w:pPr>
              <w:jc w:val="center"/>
            </w:pPr>
            <w:r>
              <w:rPr>
                <w:rFonts w:ascii="Arial" w:cs="Arial" w:eastAsia="Arial" w:hAnsi="Arial"/>
                <w:b/>
                <w:bCs/>
                <w:color w:val="8B0000"/>
                <w:sz w:val="18"/>
                <w:szCs w:val="18"/>
              </w:rPr>
              <w:t xml:space="preserve">BLOCK</w:t>
            </w:r>
          </w:p>
        </w:tc>
        <w:tc>
          <w:tcPr>
            <w:tcW w:type="dxa" w:w="3860"/>
            <w:tcBorders>
              <w:top w:val="single" w:color="AABFD4" w:sz="1"/>
              <w:left w:val="single" w:color="AABFD4" w:sz="1"/>
              <w:bottom w:val="single" w:color="AABFD4" w:sz="1"/>
              <w:right w:val="single" w:color="AABFD4"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Block Attack → Clients zone — prevents pivoting to workstations post-exploitation</w:t>
            </w:r>
          </w:p>
        </w:tc>
      </w:tr>
      <w:tr>
        <w:tc>
          <w:tcPr>
            <w:tcW w:type="dxa" w:w="1100"/>
            <w:tcBorders>
              <w:top w:val="single" w:color="AABFD4" w:sz="1"/>
              <w:left w:val="single" w:color="AABFD4" w:sz="1"/>
              <w:bottom w:val="single" w:color="AABFD4" w:sz="1"/>
              <w:right w:val="single" w:color="AABFD4" w:sz="1"/>
            </w:tcBorders>
            <w:shd w:fill="EEF4FB"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OPT1 (Clients)</w:t>
            </w:r>
          </w:p>
        </w:tc>
        <w:tc>
          <w:tcPr>
            <w:tcW w:type="dxa" w:w="1200"/>
            <w:tcBorders>
              <w:top w:val="single" w:color="AABFD4" w:sz="1"/>
              <w:left w:val="single" w:color="AABFD4" w:sz="1"/>
              <w:bottom w:val="single" w:color="AABFD4" w:sz="1"/>
              <w:right w:val="single" w:color="AABFD4" w:sz="1"/>
            </w:tcBorders>
            <w:shd w:fill="EEF4FB"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10.10.20.0/24</w:t>
            </w:r>
          </w:p>
        </w:tc>
        <w:tc>
          <w:tcPr>
            <w:tcW w:type="dxa" w:w="1300"/>
            <w:tcBorders>
              <w:top w:val="single" w:color="AABFD4" w:sz="1"/>
              <w:left w:val="single" w:color="AABFD4" w:sz="1"/>
              <w:bottom w:val="single" w:color="AABFD4" w:sz="1"/>
              <w:right w:val="single" w:color="AABFD4" w:sz="1"/>
            </w:tcBorders>
            <w:shd w:fill="EEF4FB"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10.10.10.0/24</w:t>
            </w:r>
          </w:p>
        </w:tc>
        <w:tc>
          <w:tcPr>
            <w:tcW w:type="dxa" w:w="1100"/>
            <w:tcBorders>
              <w:top w:val="single" w:color="AABFD4" w:sz="1"/>
              <w:left w:val="single" w:color="AABFD4" w:sz="1"/>
              <w:bottom w:val="single" w:color="AABFD4" w:sz="1"/>
              <w:right w:val="single" w:color="AABFD4" w:sz="1"/>
            </w:tcBorders>
            <w:shd w:fill="EEF4FB"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53/88/389/445/3389</w:t>
            </w:r>
          </w:p>
        </w:tc>
        <w:tc>
          <w:tcPr>
            <w:tcW w:type="dxa" w:w="800"/>
            <w:tcBorders>
              <w:top w:val="single" w:color="AABFD4" w:sz="1"/>
              <w:left w:val="single" w:color="AABFD4" w:sz="1"/>
              <w:bottom w:val="single" w:color="AABFD4" w:sz="1"/>
              <w:right w:val="single" w:color="AABFD4" w:sz="1"/>
            </w:tcBorders>
            <w:shd w:fill="EEF4FB" w:val="clear"/>
            <w:tcMar>
              <w:top w:type="dxa" w:w="80"/>
              <w:left w:type="dxa" w:w="150"/>
              <w:bottom w:type="dxa" w:w="80"/>
              <w:right w:type="dxa" w:w="150"/>
            </w:tcMar>
            <w:vAlign w:val="center"/>
          </w:tcPr>
          <w:p>
            <w:pPr>
              <w:jc w:val="center"/>
            </w:pPr>
            <w:r>
              <w:rPr>
                <w:rFonts w:ascii="Arial" w:cs="Arial" w:eastAsia="Arial" w:hAnsi="Arial"/>
                <w:b/>
                <w:bCs/>
                <w:color w:val="1A6B1A"/>
                <w:sz w:val="18"/>
                <w:szCs w:val="18"/>
              </w:rPr>
              <w:t xml:space="preserve">PASS</w:t>
            </w:r>
          </w:p>
        </w:tc>
        <w:tc>
          <w:tcPr>
            <w:tcW w:type="dxa" w:w="3860"/>
            <w:tcBorders>
              <w:top w:val="single" w:color="AABFD4" w:sz="1"/>
              <w:left w:val="single" w:color="AABFD4" w:sz="1"/>
              <w:bottom w:val="single" w:color="AABFD4" w:sz="1"/>
              <w:right w:val="single" w:color="AABFD4" w:sz="1"/>
            </w:tcBorders>
            <w:shd w:fill="EEF4FB"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Allow Clients → Servers on AD auth ports only — principle of least privilege; limits T1078 abuse</w:t>
            </w:r>
          </w:p>
        </w:tc>
      </w:tr>
      <w:tr>
        <w:tc>
          <w:tcPr>
            <w:tcW w:type="dxa" w:w="1100"/>
            <w:tcBorders>
              <w:top w:val="single" w:color="AABFD4" w:sz="1"/>
              <w:left w:val="single" w:color="AABFD4" w:sz="1"/>
              <w:bottom w:val="single" w:color="AABFD4" w:sz="1"/>
              <w:right w:val="single" w:color="AABFD4"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OPT1 (Clients)</w:t>
            </w:r>
          </w:p>
        </w:tc>
        <w:tc>
          <w:tcPr>
            <w:tcW w:type="dxa" w:w="1200"/>
            <w:tcBorders>
              <w:top w:val="single" w:color="AABFD4" w:sz="1"/>
              <w:left w:val="single" w:color="AABFD4" w:sz="1"/>
              <w:bottom w:val="single" w:color="AABFD4" w:sz="1"/>
              <w:right w:val="single" w:color="AABFD4"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10.10.20.0/24</w:t>
            </w:r>
          </w:p>
        </w:tc>
        <w:tc>
          <w:tcPr>
            <w:tcW w:type="dxa" w:w="1300"/>
            <w:tcBorders>
              <w:top w:val="single" w:color="AABFD4" w:sz="1"/>
              <w:left w:val="single" w:color="AABFD4" w:sz="1"/>
              <w:bottom w:val="single" w:color="AABFD4" w:sz="1"/>
              <w:right w:val="single" w:color="AABFD4"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Any</w:t>
            </w:r>
          </w:p>
        </w:tc>
        <w:tc>
          <w:tcPr>
            <w:tcW w:type="dxa" w:w="1100"/>
            <w:tcBorders>
              <w:top w:val="single" w:color="AABFD4" w:sz="1"/>
              <w:left w:val="single" w:color="AABFD4" w:sz="1"/>
              <w:bottom w:val="single" w:color="AABFD4" w:sz="1"/>
              <w:right w:val="single" w:color="AABFD4"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Any</w:t>
            </w:r>
          </w:p>
        </w:tc>
        <w:tc>
          <w:tcPr>
            <w:tcW w:type="dxa" w:w="800"/>
            <w:tcBorders>
              <w:top w:val="single" w:color="AABFD4" w:sz="1"/>
              <w:left w:val="single" w:color="AABFD4" w:sz="1"/>
              <w:bottom w:val="single" w:color="AABFD4" w:sz="1"/>
              <w:right w:val="single" w:color="AABFD4" w:sz="1"/>
            </w:tcBorders>
            <w:shd w:fill="FFFFFF" w:val="clear"/>
            <w:tcMar>
              <w:top w:type="dxa" w:w="80"/>
              <w:left w:type="dxa" w:w="150"/>
              <w:bottom w:type="dxa" w:w="80"/>
              <w:right w:type="dxa" w:w="150"/>
            </w:tcMar>
            <w:vAlign w:val="center"/>
          </w:tcPr>
          <w:p>
            <w:pPr>
              <w:jc w:val="center"/>
            </w:pPr>
            <w:r>
              <w:rPr>
                <w:rFonts w:ascii="Arial" w:cs="Arial" w:eastAsia="Arial" w:hAnsi="Arial"/>
                <w:b/>
                <w:bCs/>
                <w:color w:val="1A6B1A"/>
                <w:sz w:val="18"/>
                <w:szCs w:val="18"/>
              </w:rPr>
              <w:t xml:space="preserve">PASS</w:t>
            </w:r>
          </w:p>
        </w:tc>
        <w:tc>
          <w:tcPr>
            <w:tcW w:type="dxa" w:w="3860"/>
            <w:tcBorders>
              <w:top w:val="single" w:color="AABFD4" w:sz="1"/>
              <w:left w:val="single" w:color="AABFD4" w:sz="1"/>
              <w:bottom w:val="single" w:color="AABFD4" w:sz="1"/>
              <w:right w:val="single" w:color="AABFD4"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Allow Clients → Internet — required for updates, browsing</w:t>
            </w:r>
          </w:p>
        </w:tc>
      </w:tr>
      <w:tr>
        <w:tc>
          <w:tcPr>
            <w:tcW w:type="dxa" w:w="1100"/>
            <w:tcBorders>
              <w:top w:val="single" w:color="AABFD4" w:sz="1"/>
              <w:left w:val="single" w:color="AABFD4" w:sz="1"/>
              <w:bottom w:val="single" w:color="AABFD4" w:sz="1"/>
              <w:right w:val="single" w:color="AABFD4" w:sz="1"/>
            </w:tcBorders>
            <w:shd w:fill="EEF4FB"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OPT1 (Clients)</w:t>
            </w:r>
          </w:p>
        </w:tc>
        <w:tc>
          <w:tcPr>
            <w:tcW w:type="dxa" w:w="1200"/>
            <w:tcBorders>
              <w:top w:val="single" w:color="AABFD4" w:sz="1"/>
              <w:left w:val="single" w:color="AABFD4" w:sz="1"/>
              <w:bottom w:val="single" w:color="AABFD4" w:sz="1"/>
              <w:right w:val="single" w:color="AABFD4" w:sz="1"/>
            </w:tcBorders>
            <w:shd w:fill="EEF4FB"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10.10.20.0/24</w:t>
            </w:r>
          </w:p>
        </w:tc>
        <w:tc>
          <w:tcPr>
            <w:tcW w:type="dxa" w:w="1300"/>
            <w:tcBorders>
              <w:top w:val="single" w:color="AABFD4" w:sz="1"/>
              <w:left w:val="single" w:color="AABFD4" w:sz="1"/>
              <w:bottom w:val="single" w:color="AABFD4" w:sz="1"/>
              <w:right w:val="single" w:color="AABFD4" w:sz="1"/>
            </w:tcBorders>
            <w:shd w:fill="EEF4FB"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10.10.30.0/24</w:t>
            </w:r>
          </w:p>
        </w:tc>
        <w:tc>
          <w:tcPr>
            <w:tcW w:type="dxa" w:w="1100"/>
            <w:tcBorders>
              <w:top w:val="single" w:color="AABFD4" w:sz="1"/>
              <w:left w:val="single" w:color="AABFD4" w:sz="1"/>
              <w:bottom w:val="single" w:color="AABFD4" w:sz="1"/>
              <w:right w:val="single" w:color="AABFD4" w:sz="1"/>
            </w:tcBorders>
            <w:shd w:fill="EEF4FB"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Any</w:t>
            </w:r>
          </w:p>
        </w:tc>
        <w:tc>
          <w:tcPr>
            <w:tcW w:type="dxa" w:w="800"/>
            <w:tcBorders>
              <w:top w:val="single" w:color="AABFD4" w:sz="1"/>
              <w:left w:val="single" w:color="AABFD4" w:sz="1"/>
              <w:bottom w:val="single" w:color="AABFD4" w:sz="1"/>
              <w:right w:val="single" w:color="AABFD4" w:sz="1"/>
            </w:tcBorders>
            <w:shd w:fill="EEF4FB" w:val="clear"/>
            <w:tcMar>
              <w:top w:type="dxa" w:w="80"/>
              <w:left w:type="dxa" w:w="150"/>
              <w:bottom w:type="dxa" w:w="80"/>
              <w:right w:type="dxa" w:w="150"/>
            </w:tcMar>
            <w:vAlign w:val="center"/>
          </w:tcPr>
          <w:p>
            <w:pPr>
              <w:jc w:val="center"/>
            </w:pPr>
            <w:r>
              <w:rPr>
                <w:rFonts w:ascii="Arial" w:cs="Arial" w:eastAsia="Arial" w:hAnsi="Arial"/>
                <w:b/>
                <w:bCs/>
                <w:color w:val="8B0000"/>
                <w:sz w:val="18"/>
                <w:szCs w:val="18"/>
              </w:rPr>
              <w:t xml:space="preserve">BLOCK</w:t>
            </w:r>
          </w:p>
        </w:tc>
        <w:tc>
          <w:tcPr>
            <w:tcW w:type="dxa" w:w="3860"/>
            <w:tcBorders>
              <w:top w:val="single" w:color="AABFD4" w:sz="1"/>
              <w:left w:val="single" w:color="AABFD4" w:sz="1"/>
              <w:bottom w:val="single" w:color="AABFD4" w:sz="1"/>
              <w:right w:val="single" w:color="AABFD4" w:sz="1"/>
            </w:tcBorders>
            <w:shd w:fill="EEF4FB"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Block Clients → Attack zone — prevents reverse pivoting from client compromise</w:t>
            </w:r>
          </w:p>
        </w:tc>
      </w:tr>
      <w:tr>
        <w:tc>
          <w:tcPr>
            <w:tcW w:type="dxa" w:w="1100"/>
            <w:tcBorders>
              <w:top w:val="single" w:color="AABFD4" w:sz="1"/>
              <w:left w:val="single" w:color="AABFD4" w:sz="1"/>
              <w:bottom w:val="single" w:color="AABFD4" w:sz="1"/>
              <w:right w:val="single" w:color="AABFD4"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LAN (Servers)</w:t>
            </w:r>
          </w:p>
        </w:tc>
        <w:tc>
          <w:tcPr>
            <w:tcW w:type="dxa" w:w="1200"/>
            <w:tcBorders>
              <w:top w:val="single" w:color="AABFD4" w:sz="1"/>
              <w:left w:val="single" w:color="AABFD4" w:sz="1"/>
              <w:bottom w:val="single" w:color="AABFD4" w:sz="1"/>
              <w:right w:val="single" w:color="AABFD4"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10.10.10.0/24</w:t>
            </w:r>
          </w:p>
        </w:tc>
        <w:tc>
          <w:tcPr>
            <w:tcW w:type="dxa" w:w="1300"/>
            <w:tcBorders>
              <w:top w:val="single" w:color="AABFD4" w:sz="1"/>
              <w:left w:val="single" w:color="AABFD4" w:sz="1"/>
              <w:bottom w:val="single" w:color="AABFD4" w:sz="1"/>
              <w:right w:val="single" w:color="AABFD4"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10.10.20.0/24</w:t>
            </w:r>
          </w:p>
        </w:tc>
        <w:tc>
          <w:tcPr>
            <w:tcW w:type="dxa" w:w="1100"/>
            <w:tcBorders>
              <w:top w:val="single" w:color="AABFD4" w:sz="1"/>
              <w:left w:val="single" w:color="AABFD4" w:sz="1"/>
              <w:bottom w:val="single" w:color="AABFD4" w:sz="1"/>
              <w:right w:val="single" w:color="AABFD4"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Any</w:t>
            </w:r>
          </w:p>
        </w:tc>
        <w:tc>
          <w:tcPr>
            <w:tcW w:type="dxa" w:w="800"/>
            <w:tcBorders>
              <w:top w:val="single" w:color="AABFD4" w:sz="1"/>
              <w:left w:val="single" w:color="AABFD4" w:sz="1"/>
              <w:bottom w:val="single" w:color="AABFD4" w:sz="1"/>
              <w:right w:val="single" w:color="AABFD4" w:sz="1"/>
            </w:tcBorders>
            <w:shd w:fill="FFFFFF" w:val="clear"/>
            <w:tcMar>
              <w:top w:type="dxa" w:w="80"/>
              <w:left w:type="dxa" w:w="150"/>
              <w:bottom w:type="dxa" w:w="80"/>
              <w:right w:type="dxa" w:w="150"/>
            </w:tcMar>
            <w:vAlign w:val="center"/>
          </w:tcPr>
          <w:p>
            <w:pPr>
              <w:jc w:val="center"/>
            </w:pPr>
            <w:r>
              <w:rPr>
                <w:rFonts w:ascii="Arial" w:cs="Arial" w:eastAsia="Arial" w:hAnsi="Arial"/>
                <w:b/>
                <w:bCs/>
                <w:color w:val="1A6B1A"/>
                <w:sz w:val="18"/>
                <w:szCs w:val="18"/>
              </w:rPr>
              <w:t xml:space="preserve">PASS</w:t>
            </w:r>
          </w:p>
        </w:tc>
        <w:tc>
          <w:tcPr>
            <w:tcW w:type="dxa" w:w="3860"/>
            <w:tcBorders>
              <w:top w:val="single" w:color="AABFD4" w:sz="1"/>
              <w:left w:val="single" w:color="AABFD4" w:sz="1"/>
              <w:bottom w:val="single" w:color="AABFD4" w:sz="1"/>
              <w:right w:val="single" w:color="AABFD4"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Allow Servers → Clients — needed for AD services, Group Policy, DNS resolution</w:t>
            </w:r>
          </w:p>
        </w:tc>
      </w:tr>
      <w:tr>
        <w:tc>
          <w:tcPr>
            <w:tcW w:type="dxa" w:w="1100"/>
            <w:tcBorders>
              <w:top w:val="single" w:color="AABFD4" w:sz="1"/>
              <w:left w:val="single" w:color="AABFD4" w:sz="1"/>
              <w:bottom w:val="single" w:color="AABFD4" w:sz="1"/>
              <w:right w:val="single" w:color="AABFD4" w:sz="1"/>
            </w:tcBorders>
            <w:shd w:fill="EEF4FB"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LAN (Servers)</w:t>
            </w:r>
          </w:p>
        </w:tc>
        <w:tc>
          <w:tcPr>
            <w:tcW w:type="dxa" w:w="1200"/>
            <w:tcBorders>
              <w:top w:val="single" w:color="AABFD4" w:sz="1"/>
              <w:left w:val="single" w:color="AABFD4" w:sz="1"/>
              <w:bottom w:val="single" w:color="AABFD4" w:sz="1"/>
              <w:right w:val="single" w:color="AABFD4" w:sz="1"/>
            </w:tcBorders>
            <w:shd w:fill="EEF4FB"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10.10.10.0/24</w:t>
            </w:r>
          </w:p>
        </w:tc>
        <w:tc>
          <w:tcPr>
            <w:tcW w:type="dxa" w:w="1300"/>
            <w:tcBorders>
              <w:top w:val="single" w:color="AABFD4" w:sz="1"/>
              <w:left w:val="single" w:color="AABFD4" w:sz="1"/>
              <w:bottom w:val="single" w:color="AABFD4" w:sz="1"/>
              <w:right w:val="single" w:color="AABFD4" w:sz="1"/>
            </w:tcBorders>
            <w:shd w:fill="EEF4FB"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Any</w:t>
            </w:r>
          </w:p>
        </w:tc>
        <w:tc>
          <w:tcPr>
            <w:tcW w:type="dxa" w:w="1100"/>
            <w:tcBorders>
              <w:top w:val="single" w:color="AABFD4" w:sz="1"/>
              <w:left w:val="single" w:color="AABFD4" w:sz="1"/>
              <w:bottom w:val="single" w:color="AABFD4" w:sz="1"/>
              <w:right w:val="single" w:color="AABFD4" w:sz="1"/>
            </w:tcBorders>
            <w:shd w:fill="EEF4FB"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Any</w:t>
            </w:r>
          </w:p>
        </w:tc>
        <w:tc>
          <w:tcPr>
            <w:tcW w:type="dxa" w:w="800"/>
            <w:tcBorders>
              <w:top w:val="single" w:color="AABFD4" w:sz="1"/>
              <w:left w:val="single" w:color="AABFD4" w:sz="1"/>
              <w:bottom w:val="single" w:color="AABFD4" w:sz="1"/>
              <w:right w:val="single" w:color="AABFD4" w:sz="1"/>
            </w:tcBorders>
            <w:shd w:fill="EEF4FB" w:val="clear"/>
            <w:tcMar>
              <w:top w:type="dxa" w:w="80"/>
              <w:left w:type="dxa" w:w="150"/>
              <w:bottom w:type="dxa" w:w="80"/>
              <w:right w:type="dxa" w:w="150"/>
            </w:tcMar>
            <w:vAlign w:val="center"/>
          </w:tcPr>
          <w:p>
            <w:pPr>
              <w:jc w:val="center"/>
            </w:pPr>
            <w:r>
              <w:rPr>
                <w:rFonts w:ascii="Arial" w:cs="Arial" w:eastAsia="Arial" w:hAnsi="Arial"/>
                <w:b/>
                <w:bCs/>
                <w:color w:val="1A6B1A"/>
                <w:sz w:val="18"/>
                <w:szCs w:val="18"/>
              </w:rPr>
              <w:t xml:space="preserve">PASS</w:t>
            </w:r>
          </w:p>
        </w:tc>
        <w:tc>
          <w:tcPr>
            <w:tcW w:type="dxa" w:w="3860"/>
            <w:tcBorders>
              <w:top w:val="single" w:color="AABFD4" w:sz="1"/>
              <w:left w:val="single" w:color="AABFD4" w:sz="1"/>
              <w:bottom w:val="single" w:color="AABFD4" w:sz="1"/>
              <w:right w:val="single" w:color="AABFD4" w:sz="1"/>
            </w:tcBorders>
            <w:shd w:fill="EEF4FB"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Allow Servers → Internet — required for Windows Update, NTP, DNS</w:t>
            </w:r>
          </w:p>
        </w:tc>
      </w:tr>
      <w:tr>
        <w:tc>
          <w:tcPr>
            <w:tcW w:type="dxa" w:w="1100"/>
            <w:tcBorders>
              <w:top w:val="single" w:color="AABFD4" w:sz="1"/>
              <w:left w:val="single" w:color="AABFD4" w:sz="1"/>
              <w:bottom w:val="single" w:color="AABFD4" w:sz="1"/>
              <w:right w:val="single" w:color="AABFD4"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LAN (Servers)</w:t>
            </w:r>
          </w:p>
        </w:tc>
        <w:tc>
          <w:tcPr>
            <w:tcW w:type="dxa" w:w="1200"/>
            <w:tcBorders>
              <w:top w:val="single" w:color="AABFD4" w:sz="1"/>
              <w:left w:val="single" w:color="AABFD4" w:sz="1"/>
              <w:bottom w:val="single" w:color="AABFD4" w:sz="1"/>
              <w:right w:val="single" w:color="AABFD4"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10.10.10.0/24</w:t>
            </w:r>
          </w:p>
        </w:tc>
        <w:tc>
          <w:tcPr>
            <w:tcW w:type="dxa" w:w="1300"/>
            <w:tcBorders>
              <w:top w:val="single" w:color="AABFD4" w:sz="1"/>
              <w:left w:val="single" w:color="AABFD4" w:sz="1"/>
              <w:bottom w:val="single" w:color="AABFD4" w:sz="1"/>
              <w:right w:val="single" w:color="AABFD4"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10.10.30.0/24</w:t>
            </w:r>
          </w:p>
        </w:tc>
        <w:tc>
          <w:tcPr>
            <w:tcW w:type="dxa" w:w="1100"/>
            <w:tcBorders>
              <w:top w:val="single" w:color="AABFD4" w:sz="1"/>
              <w:left w:val="single" w:color="AABFD4" w:sz="1"/>
              <w:bottom w:val="single" w:color="AABFD4" w:sz="1"/>
              <w:right w:val="single" w:color="AABFD4"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Any</w:t>
            </w:r>
          </w:p>
        </w:tc>
        <w:tc>
          <w:tcPr>
            <w:tcW w:type="dxa" w:w="800"/>
            <w:tcBorders>
              <w:top w:val="single" w:color="AABFD4" w:sz="1"/>
              <w:left w:val="single" w:color="AABFD4" w:sz="1"/>
              <w:bottom w:val="single" w:color="AABFD4" w:sz="1"/>
              <w:right w:val="single" w:color="AABFD4" w:sz="1"/>
            </w:tcBorders>
            <w:shd w:fill="FFFFFF" w:val="clear"/>
            <w:tcMar>
              <w:top w:type="dxa" w:w="80"/>
              <w:left w:type="dxa" w:w="150"/>
              <w:bottom w:type="dxa" w:w="80"/>
              <w:right w:type="dxa" w:w="150"/>
            </w:tcMar>
            <w:vAlign w:val="center"/>
          </w:tcPr>
          <w:p>
            <w:pPr>
              <w:jc w:val="center"/>
            </w:pPr>
            <w:r>
              <w:rPr>
                <w:rFonts w:ascii="Arial" w:cs="Arial" w:eastAsia="Arial" w:hAnsi="Arial"/>
                <w:b/>
                <w:bCs/>
                <w:color w:val="8B0000"/>
                <w:sz w:val="18"/>
                <w:szCs w:val="18"/>
              </w:rPr>
              <w:t xml:space="preserve">BLOCK</w:t>
            </w:r>
          </w:p>
        </w:tc>
        <w:tc>
          <w:tcPr>
            <w:tcW w:type="dxa" w:w="3860"/>
            <w:tcBorders>
              <w:top w:val="single" w:color="AABFD4" w:sz="1"/>
              <w:left w:val="single" w:color="AABFD4" w:sz="1"/>
              <w:bottom w:val="single" w:color="AABFD4" w:sz="1"/>
              <w:right w:val="single" w:color="AABFD4"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Block Servers → Attack zone — prevents C2 callbacks and exfiltration to attack host (T1041)</w:t>
            </w:r>
          </w:p>
        </w:tc>
      </w:tr>
      <w:tr>
        <w:tc>
          <w:tcPr>
            <w:tcW w:type="dxa" w:w="1100"/>
            <w:tcBorders>
              <w:top w:val="single" w:color="AABFD4" w:sz="1"/>
              <w:left w:val="single" w:color="AABFD4" w:sz="1"/>
              <w:bottom w:val="single" w:color="AABFD4" w:sz="1"/>
              <w:right w:val="single" w:color="AABFD4" w:sz="1"/>
            </w:tcBorders>
            <w:shd w:fill="EEF4FB"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WAN</w:t>
            </w:r>
          </w:p>
        </w:tc>
        <w:tc>
          <w:tcPr>
            <w:tcW w:type="dxa" w:w="1200"/>
            <w:tcBorders>
              <w:top w:val="single" w:color="AABFD4" w:sz="1"/>
              <w:left w:val="single" w:color="AABFD4" w:sz="1"/>
              <w:bottom w:val="single" w:color="AABFD4" w:sz="1"/>
              <w:right w:val="single" w:color="AABFD4" w:sz="1"/>
            </w:tcBorders>
            <w:shd w:fill="EEF4FB"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Any</w:t>
            </w:r>
          </w:p>
        </w:tc>
        <w:tc>
          <w:tcPr>
            <w:tcW w:type="dxa" w:w="1300"/>
            <w:tcBorders>
              <w:top w:val="single" w:color="AABFD4" w:sz="1"/>
              <w:left w:val="single" w:color="AABFD4" w:sz="1"/>
              <w:bottom w:val="single" w:color="AABFD4" w:sz="1"/>
              <w:right w:val="single" w:color="AABFD4" w:sz="1"/>
            </w:tcBorders>
            <w:shd w:fill="EEF4FB"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Any</w:t>
            </w:r>
          </w:p>
        </w:tc>
        <w:tc>
          <w:tcPr>
            <w:tcW w:type="dxa" w:w="1100"/>
            <w:tcBorders>
              <w:top w:val="single" w:color="AABFD4" w:sz="1"/>
              <w:left w:val="single" w:color="AABFD4" w:sz="1"/>
              <w:bottom w:val="single" w:color="AABFD4" w:sz="1"/>
              <w:right w:val="single" w:color="AABFD4" w:sz="1"/>
            </w:tcBorders>
            <w:shd w:fill="EEF4FB"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Any</w:t>
            </w:r>
          </w:p>
        </w:tc>
        <w:tc>
          <w:tcPr>
            <w:tcW w:type="dxa" w:w="800"/>
            <w:tcBorders>
              <w:top w:val="single" w:color="AABFD4" w:sz="1"/>
              <w:left w:val="single" w:color="AABFD4" w:sz="1"/>
              <w:bottom w:val="single" w:color="AABFD4" w:sz="1"/>
              <w:right w:val="single" w:color="AABFD4" w:sz="1"/>
            </w:tcBorders>
            <w:shd w:fill="EEF4FB" w:val="clear"/>
            <w:tcMar>
              <w:top w:type="dxa" w:w="80"/>
              <w:left w:type="dxa" w:w="150"/>
              <w:bottom w:type="dxa" w:w="80"/>
              <w:right w:type="dxa" w:w="150"/>
            </w:tcMar>
            <w:vAlign w:val="center"/>
          </w:tcPr>
          <w:p>
            <w:pPr>
              <w:jc w:val="center"/>
            </w:pPr>
            <w:r>
              <w:rPr>
                <w:rFonts w:ascii="Arial" w:cs="Arial" w:eastAsia="Arial" w:hAnsi="Arial"/>
                <w:b/>
                <w:bCs/>
                <w:color w:val="8B0000"/>
                <w:sz w:val="18"/>
                <w:szCs w:val="18"/>
              </w:rPr>
              <w:t xml:space="preserve">BLOCK</w:t>
            </w:r>
          </w:p>
        </w:tc>
        <w:tc>
          <w:tcPr>
            <w:tcW w:type="dxa" w:w="3860"/>
            <w:tcBorders>
              <w:top w:val="single" w:color="AABFD4" w:sz="1"/>
              <w:left w:val="single" w:color="AABFD4" w:sz="1"/>
              <w:bottom w:val="single" w:color="AABFD4" w:sz="1"/>
              <w:right w:val="single" w:color="AABFD4" w:sz="1"/>
            </w:tcBorders>
            <w:shd w:fill="EEF4FB"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Default deny all inbound — no services exposed externally; baseline perimeter control</w:t>
            </w:r>
          </w:p>
        </w:tc>
      </w:tr>
    </w:tbl>
    <w:p>
      <w:pPr>
        <w:spacing w:before="200" w:after="80"/>
      </w:pPr>
      <w:r>
        <w:t xml:space="preserve"/>
      </w:r>
    </w:p>
    <w:p>
      <w:pPr>
        <w:pBdr>
          <w:bottom w:val="single" w:color="2E5FA3" w:sz="8" w:space="4"/>
        </w:pBdr>
        <w:spacing w:before="280" w:after="100"/>
      </w:pPr>
      <w:r>
        <w:rPr>
          <w:rFonts w:ascii="Arial" w:cs="Arial" w:eastAsia="Arial" w:hAnsi="Arial"/>
          <w:b/>
          <w:bCs/>
          <w:color w:val="1F3864"/>
          <w:sz w:val="26"/>
          <w:szCs w:val="26"/>
        </w:rPr>
        <w:t xml:space="preserve">5. Risk Assessment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200"/>
        <w:gridCol w:w="2160"/>
      </w:tblGrid>
      <w:tr>
        <w:trPr>
          <w:tblHeader/>
        </w:trPr>
        <w:tc>
          <w:tcPr>
            <w:tcW w:type="dxa" w:w="2600"/>
            <w:tcBorders>
              <w:top w:val="single" w:color="AABFD4" w:sz="1"/>
              <w:left w:val="single" w:color="AABFD4" w:sz="1"/>
              <w:bottom w:val="single" w:color="AABFD4" w:sz="1"/>
              <w:right w:val="single" w:color="AABFD4" w:sz="1"/>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18"/>
                <w:szCs w:val="18"/>
              </w:rPr>
              <w:t xml:space="preserve">Risk / Concern</w:t>
            </w:r>
          </w:p>
        </w:tc>
        <w:tc>
          <w:tcPr>
            <w:tcW w:type="dxa" w:w="2400"/>
            <w:tcBorders>
              <w:top w:val="single" w:color="AABFD4" w:sz="1"/>
              <w:left w:val="single" w:color="AABFD4" w:sz="1"/>
              <w:bottom w:val="single" w:color="AABFD4" w:sz="1"/>
              <w:right w:val="single" w:color="AABFD4" w:sz="1"/>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18"/>
                <w:szCs w:val="18"/>
              </w:rPr>
              <w:t xml:space="preserve">Severity</w:t>
            </w:r>
          </w:p>
        </w:tc>
        <w:tc>
          <w:tcPr>
            <w:tcW w:type="dxa" w:w="2200"/>
            <w:tcBorders>
              <w:top w:val="single" w:color="AABFD4" w:sz="1"/>
              <w:left w:val="single" w:color="AABFD4" w:sz="1"/>
              <w:bottom w:val="single" w:color="AABFD4" w:sz="1"/>
              <w:right w:val="single" w:color="AABFD4" w:sz="1"/>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18"/>
                <w:szCs w:val="18"/>
              </w:rPr>
              <w:t xml:space="preserve">Mitigating Controls</w:t>
            </w:r>
          </w:p>
        </w:tc>
        <w:tc>
          <w:tcPr>
            <w:tcW w:type="dxa" w:w="2160"/>
            <w:tcBorders>
              <w:top w:val="single" w:color="AABFD4" w:sz="1"/>
              <w:left w:val="single" w:color="AABFD4" w:sz="1"/>
              <w:bottom w:val="single" w:color="AABFD4" w:sz="1"/>
              <w:right w:val="single" w:color="AABFD4" w:sz="1"/>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18"/>
                <w:szCs w:val="18"/>
              </w:rPr>
              <w:t xml:space="preserve">Decision</w:t>
            </w:r>
          </w:p>
        </w:tc>
      </w:tr>
      <w:tr>
        <w:tc>
          <w:tcPr>
            <w:tcW w:type="dxa" w:w="2600"/>
            <w:tcBorders>
              <w:top w:val="single" w:color="AABFD4" w:sz="1"/>
              <w:left w:val="single" w:color="AABFD4" w:sz="1"/>
              <w:bottom w:val="single" w:color="AABFD4" w:sz="1"/>
              <w:right w:val="single" w:color="AABFD4"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Attack zone can reach internet via WAN</w:t>
            </w:r>
          </w:p>
        </w:tc>
        <w:tc>
          <w:tcPr>
            <w:tcW w:type="dxa" w:w="2400"/>
            <w:tcBorders>
              <w:top w:val="single" w:color="AABFD4" w:sz="1"/>
              <w:left w:val="single" w:color="AABFD4" w:sz="1"/>
              <w:bottom w:val="single" w:color="AABFD4" w:sz="1"/>
              <w:right w:val="single" w:color="AABFD4" w:sz="1"/>
            </w:tcBorders>
            <w:shd w:fill="FFFFFF" w:val="clear"/>
            <w:tcMar>
              <w:top w:type="dxa" w:w="80"/>
              <w:left w:type="dxa" w:w="150"/>
              <w:bottom w:type="dxa" w:w="80"/>
              <w:right w:type="dxa" w:w="150"/>
            </w:tcMar>
            <w:vAlign w:val="center"/>
          </w:tcPr>
          <w:p>
            <w:pPr>
              <w:jc w:val="center"/>
            </w:pPr>
            <w:r>
              <w:rPr>
                <w:rFonts w:ascii="Arial" w:cs="Arial" w:eastAsia="Arial" w:hAnsi="Arial"/>
                <w:b/>
                <w:bCs/>
                <w:color w:val="7B4F00"/>
                <w:sz w:val="18"/>
                <w:szCs w:val="18"/>
              </w:rPr>
              <w:t xml:space="preserve">Medium</w:t>
            </w:r>
          </w:p>
        </w:tc>
        <w:tc>
          <w:tcPr>
            <w:tcW w:type="dxa" w:w="2200"/>
            <w:tcBorders>
              <w:top w:val="single" w:color="AABFD4" w:sz="1"/>
              <w:left w:val="single" w:color="AABFD4" w:sz="1"/>
              <w:bottom w:val="single" w:color="AABFD4" w:sz="1"/>
              <w:right w:val="single" w:color="AABFD4"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Monitored via Wazuh; isolated on VMnet12; no production data</w:t>
            </w:r>
          </w:p>
        </w:tc>
        <w:tc>
          <w:tcPr>
            <w:tcW w:type="dxa" w:w="2160"/>
            <w:tcBorders>
              <w:top w:val="single" w:color="AABFD4" w:sz="1"/>
              <w:left w:val="single" w:color="AABFD4" w:sz="1"/>
              <w:bottom w:val="single" w:color="AABFD4" w:sz="1"/>
              <w:right w:val="single" w:color="AABFD4"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Accepted — lab requirement for tool updates</w:t>
            </w:r>
          </w:p>
        </w:tc>
      </w:tr>
      <w:tr>
        <w:tc>
          <w:tcPr>
            <w:tcW w:type="dxa" w:w="2600"/>
            <w:tcBorders>
              <w:top w:val="single" w:color="AABFD4" w:sz="1"/>
              <w:left w:val="single" w:color="AABFD4" w:sz="1"/>
              <w:bottom w:val="single" w:color="AABFD4" w:sz="1"/>
              <w:right w:val="single" w:color="AABFD4" w:sz="1"/>
            </w:tcBorders>
            <w:shd w:fill="EEF4FB"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pfSense GUI accessible from LAN (VMnet10) only</w:t>
            </w:r>
          </w:p>
        </w:tc>
        <w:tc>
          <w:tcPr>
            <w:tcW w:type="dxa" w:w="2400"/>
            <w:tcBorders>
              <w:top w:val="single" w:color="AABFD4" w:sz="1"/>
              <w:left w:val="single" w:color="AABFD4" w:sz="1"/>
              <w:bottom w:val="single" w:color="AABFD4" w:sz="1"/>
              <w:right w:val="single" w:color="AABFD4" w:sz="1"/>
            </w:tcBorders>
            <w:shd w:fill="EEF4FB" w:val="clear"/>
            <w:tcMar>
              <w:top w:type="dxa" w:w="80"/>
              <w:left w:type="dxa" w:w="150"/>
              <w:bottom w:type="dxa" w:w="80"/>
              <w:right w:type="dxa" w:w="150"/>
            </w:tcMar>
            <w:vAlign w:val="center"/>
          </w:tcPr>
          <w:p>
            <w:pPr>
              <w:jc w:val="center"/>
            </w:pPr>
            <w:r>
              <w:rPr>
                <w:rFonts w:ascii="Arial" w:cs="Arial" w:eastAsia="Arial" w:hAnsi="Arial"/>
                <w:b/>
                <w:bCs/>
                <w:color w:val="1A6B1A"/>
                <w:sz w:val="18"/>
                <w:szCs w:val="18"/>
              </w:rPr>
              <w:t xml:space="preserve">Low</w:t>
            </w:r>
          </w:p>
        </w:tc>
        <w:tc>
          <w:tcPr>
            <w:tcW w:type="dxa" w:w="2200"/>
            <w:tcBorders>
              <w:top w:val="single" w:color="AABFD4" w:sz="1"/>
              <w:left w:val="single" w:color="AABFD4" w:sz="1"/>
              <w:bottom w:val="single" w:color="AABFD4" w:sz="1"/>
              <w:right w:val="single" w:color="AABFD4" w:sz="1"/>
            </w:tcBorders>
            <w:shd w:fill="EEF4FB"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GUI not exposed to Clients or Attack zones</w:t>
            </w:r>
          </w:p>
        </w:tc>
        <w:tc>
          <w:tcPr>
            <w:tcW w:type="dxa" w:w="2160"/>
            <w:tcBorders>
              <w:top w:val="single" w:color="AABFD4" w:sz="1"/>
              <w:left w:val="single" w:color="AABFD4" w:sz="1"/>
              <w:bottom w:val="single" w:color="AABFD4" w:sz="1"/>
              <w:right w:val="single" w:color="AABFD4" w:sz="1"/>
            </w:tcBorders>
            <w:shd w:fill="EEF4FB"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Accepted — access restricted by firewall zone design</w:t>
            </w:r>
          </w:p>
        </w:tc>
      </w:tr>
      <w:tr>
        <w:tc>
          <w:tcPr>
            <w:tcW w:type="dxa" w:w="2600"/>
            <w:tcBorders>
              <w:top w:val="single" w:color="AABFD4" w:sz="1"/>
              <w:left w:val="single" w:color="AABFD4" w:sz="1"/>
              <w:bottom w:val="single" w:color="AABFD4" w:sz="1"/>
              <w:right w:val="single" w:color="AABFD4"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Clients zone allowed outbound to internet</w:t>
            </w:r>
          </w:p>
        </w:tc>
        <w:tc>
          <w:tcPr>
            <w:tcW w:type="dxa" w:w="2400"/>
            <w:tcBorders>
              <w:top w:val="single" w:color="AABFD4" w:sz="1"/>
              <w:left w:val="single" w:color="AABFD4" w:sz="1"/>
              <w:bottom w:val="single" w:color="AABFD4" w:sz="1"/>
              <w:right w:val="single" w:color="AABFD4" w:sz="1"/>
            </w:tcBorders>
            <w:shd w:fill="FFFFFF" w:val="clear"/>
            <w:tcMar>
              <w:top w:type="dxa" w:w="80"/>
              <w:left w:type="dxa" w:w="150"/>
              <w:bottom w:type="dxa" w:w="80"/>
              <w:right w:type="dxa" w:w="150"/>
            </w:tcMar>
            <w:vAlign w:val="center"/>
          </w:tcPr>
          <w:p>
            <w:pPr>
              <w:jc w:val="center"/>
            </w:pPr>
            <w:r>
              <w:rPr>
                <w:rFonts w:ascii="Arial" w:cs="Arial" w:eastAsia="Arial" w:hAnsi="Arial"/>
                <w:b/>
                <w:bCs/>
                <w:color w:val="1A6B1A"/>
                <w:sz w:val="18"/>
                <w:szCs w:val="18"/>
              </w:rPr>
              <w:t xml:space="preserve">Low</w:t>
            </w:r>
          </w:p>
        </w:tc>
        <w:tc>
          <w:tcPr>
            <w:tcW w:type="dxa" w:w="2200"/>
            <w:tcBorders>
              <w:top w:val="single" w:color="AABFD4" w:sz="1"/>
              <w:left w:val="single" w:color="AABFD4" w:sz="1"/>
              <w:bottom w:val="single" w:color="AABFD4" w:sz="1"/>
              <w:right w:val="single" w:color="AABFD4"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Required for realistic domain client behavior; Wazuh agent monitoring active</w:t>
            </w:r>
          </w:p>
        </w:tc>
        <w:tc>
          <w:tcPr>
            <w:tcW w:type="dxa" w:w="2160"/>
            <w:tcBorders>
              <w:top w:val="single" w:color="AABFD4" w:sz="1"/>
              <w:left w:val="single" w:color="AABFD4" w:sz="1"/>
              <w:bottom w:val="single" w:color="AABFD4" w:sz="1"/>
              <w:right w:val="single" w:color="AABFD4"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Accepted — necessary for lab realism</w:t>
            </w:r>
          </w:p>
        </w:tc>
      </w:tr>
      <w:tr>
        <w:tc>
          <w:tcPr>
            <w:tcW w:type="dxa" w:w="2600"/>
            <w:tcBorders>
              <w:top w:val="single" w:color="AABFD4" w:sz="1"/>
              <w:left w:val="single" w:color="AABFD4" w:sz="1"/>
              <w:bottom w:val="single" w:color="AABFD4" w:sz="1"/>
              <w:right w:val="single" w:color="AABFD4" w:sz="1"/>
            </w:tcBorders>
            <w:shd w:fill="EEF4FB"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Lateral movement blocked but not fully simulated post-rule</w:t>
            </w:r>
          </w:p>
        </w:tc>
        <w:tc>
          <w:tcPr>
            <w:tcW w:type="dxa" w:w="2400"/>
            <w:tcBorders>
              <w:top w:val="single" w:color="AABFD4" w:sz="1"/>
              <w:left w:val="single" w:color="AABFD4" w:sz="1"/>
              <w:bottom w:val="single" w:color="AABFD4" w:sz="1"/>
              <w:right w:val="single" w:color="AABFD4" w:sz="1"/>
            </w:tcBorders>
            <w:shd w:fill="EEF4FB" w:val="clear"/>
            <w:tcMar>
              <w:top w:type="dxa" w:w="80"/>
              <w:left w:type="dxa" w:w="150"/>
              <w:bottom w:type="dxa" w:w="80"/>
              <w:right w:type="dxa" w:w="150"/>
            </w:tcMar>
            <w:vAlign w:val="center"/>
          </w:tcPr>
          <w:p>
            <w:pPr>
              <w:jc w:val="center"/>
            </w:pPr>
            <w:r>
              <w:rPr>
                <w:rFonts w:ascii="Arial" w:cs="Arial" w:eastAsia="Arial" w:hAnsi="Arial"/>
                <w:b/>
                <w:bCs/>
                <w:color w:val="1A6B1A"/>
                <w:sz w:val="18"/>
                <w:szCs w:val="18"/>
              </w:rPr>
              <w:t xml:space="preserve">Low</w:t>
            </w:r>
          </w:p>
        </w:tc>
        <w:tc>
          <w:tcPr>
            <w:tcW w:type="dxa" w:w="2200"/>
            <w:tcBorders>
              <w:top w:val="single" w:color="AABFD4" w:sz="1"/>
              <w:left w:val="single" w:color="AABFD4" w:sz="1"/>
              <w:bottom w:val="single" w:color="AABFD4" w:sz="1"/>
              <w:right w:val="single" w:color="AABFD4" w:sz="1"/>
            </w:tcBorders>
            <w:shd w:fill="EEF4FB"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Rules verified via Wazuh alerts during live attack scenarios</w:t>
            </w:r>
          </w:p>
        </w:tc>
        <w:tc>
          <w:tcPr>
            <w:tcW w:type="dxa" w:w="2160"/>
            <w:tcBorders>
              <w:top w:val="single" w:color="AABFD4" w:sz="1"/>
              <w:left w:val="single" w:color="AABFD4" w:sz="1"/>
              <w:bottom w:val="single" w:color="AABFD4" w:sz="1"/>
              <w:right w:val="single" w:color="AABFD4" w:sz="1"/>
            </w:tcBorders>
            <w:shd w:fill="EEF4FB"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Accepted — Phase 8 SOC scenarios confirmed detection</w:t>
            </w:r>
          </w:p>
        </w:tc>
      </w:tr>
    </w:tbl>
    <w:p>
      <w:pPr>
        <w:spacing w:before="200" w:after="80"/>
      </w:pPr>
      <w:r>
        <w:t xml:space="preserve"/>
      </w:r>
    </w:p>
    <w:p>
      <w:pPr>
        <w:pBdr>
          <w:bottom w:val="single" w:color="2E5FA3" w:sz="8" w:space="4"/>
        </w:pBdr>
        <w:spacing w:before="280" w:after="100"/>
      </w:pPr>
      <w:r>
        <w:rPr>
          <w:rFonts w:ascii="Arial" w:cs="Arial" w:eastAsia="Arial" w:hAnsi="Arial"/>
          <w:b/>
          <w:bCs/>
          <w:color w:val="1F3864"/>
          <w:sz w:val="26"/>
          <w:szCs w:val="26"/>
        </w:rPr>
        <w:t xml:space="preserve">6. Rollback Plan</w:t>
      </w:r>
    </w:p>
    <w:p>
      <w:pPr>
        <w:spacing w:before="60" w:after="60"/>
      </w:pPr>
      <w:r>
        <w:t xml:space="preserve"/>
      </w:r>
    </w:p>
    <w:p>
      <w:pPr>
        <w:spacing w:before="0" w:after="120"/>
      </w:pPr>
      <w:r>
        <w:rPr>
          <w:rFonts w:ascii="Arial" w:cs="Arial" w:eastAsia="Arial" w:hAnsi="Arial"/>
          <w:sz w:val="20"/>
          <w:szCs w:val="20"/>
        </w:rPr>
        <w:t xml:space="preserve">In the event that the implemented firewall rules cause unintended connectivity loss or break required lab functionality, the following rollback procedure applies:</w:t>
      </w:r>
    </w:p>
    <w:p>
      <w:pPr>
        <w:pStyle w:val="ListParagraph"/>
        <w:numPr>
          <w:ilvl w:val="0"/>
          <w:numId w:val="3"/>
        </w:numPr>
        <w:spacing w:before="40" w:after="40"/>
      </w:pPr>
      <w:r>
        <w:rPr>
          <w:rFonts w:ascii="Arial" w:cs="Arial" w:eastAsia="Arial" w:hAnsi="Arial"/>
          <w:sz w:val="18"/>
          <w:szCs w:val="18"/>
        </w:rPr>
        <w:t xml:space="preserve">Access pfSense Web GUI at https://10.10.10.1 using credentials: admin / pfSense2025Lab!</w:t>
      </w:r>
    </w:p>
    <w:p>
      <w:pPr>
        <w:pStyle w:val="ListParagraph"/>
        <w:numPr>
          <w:ilvl w:val="0"/>
          <w:numId w:val="3"/>
        </w:numPr>
        <w:spacing w:before="40" w:after="40"/>
      </w:pPr>
      <w:r>
        <w:rPr>
          <w:rFonts w:ascii="Arial" w:cs="Arial" w:eastAsia="Arial" w:hAnsi="Arial"/>
          <w:sz w:val="18"/>
          <w:szCs w:val="18"/>
        </w:rPr>
        <w:t xml:space="preserve">Navigate to Firewall → Rules and identify rules associated with this change (CHG-2026-010).</w:t>
      </w:r>
    </w:p>
    <w:p>
      <w:pPr>
        <w:pStyle w:val="ListParagraph"/>
        <w:numPr>
          <w:ilvl w:val="0"/>
          <w:numId w:val="3"/>
        </w:numPr>
        <w:spacing w:before="40" w:after="40"/>
      </w:pPr>
      <w:r>
        <w:rPr>
          <w:rFonts w:ascii="Arial" w:cs="Arial" w:eastAsia="Arial" w:hAnsi="Arial"/>
          <w:sz w:val="18"/>
          <w:szCs w:val="18"/>
        </w:rPr>
        <w:t xml:space="preserve">Disable or delete the specific rules causing the issue.</w:t>
      </w:r>
    </w:p>
    <w:p>
      <w:pPr>
        <w:pStyle w:val="ListParagraph"/>
        <w:numPr>
          <w:ilvl w:val="0"/>
          <w:numId w:val="3"/>
        </w:numPr>
        <w:spacing w:before="40" w:after="40"/>
      </w:pPr>
      <w:r>
        <w:rPr>
          <w:rFonts w:ascii="Arial" w:cs="Arial" w:eastAsia="Arial" w:hAnsi="Arial"/>
          <w:sz w:val="18"/>
          <w:szCs w:val="18"/>
        </w:rPr>
        <w:t xml:space="preserve">Verify connectivity is restored by testing from affected VMs.</w:t>
      </w:r>
    </w:p>
    <w:p>
      <w:pPr>
        <w:pStyle w:val="ListParagraph"/>
        <w:numPr>
          <w:ilvl w:val="0"/>
          <w:numId w:val="3"/>
        </w:numPr>
        <w:spacing w:before="40" w:after="40"/>
      </w:pPr>
      <w:r>
        <w:rPr>
          <w:rFonts w:ascii="Arial" w:cs="Arial" w:eastAsia="Arial" w:hAnsi="Arial"/>
          <w:sz w:val="18"/>
          <w:szCs w:val="18"/>
        </w:rPr>
        <w:t xml:space="preserve">Document the rollback in this log with timestamp and reason.</w:t>
      </w:r>
    </w:p>
    <w:p>
      <w:pPr>
        <w:pStyle w:val="ListParagraph"/>
        <w:numPr>
          <w:ilvl w:val="0"/>
          <w:numId w:val="3"/>
        </w:numPr>
        <w:spacing w:before="40" w:after="40"/>
      </w:pPr>
      <w:r>
        <w:rPr>
          <w:rFonts w:ascii="Arial" w:cs="Arial" w:eastAsia="Arial" w:hAnsi="Arial"/>
          <w:sz w:val="18"/>
          <w:szCs w:val="18"/>
        </w:rPr>
        <w:t xml:space="preserve">A full configuration backup was exported from pfSense prior to this change and stored locally.</w:t>
      </w:r>
    </w:p>
    <w:p>
      <w:pPr>
        <w:spacing w:before="200" w:after="80"/>
      </w:pPr>
      <w:r>
        <w:t xml:space="preserve"/>
      </w:r>
    </w:p>
    <w:p>
      <w:pPr>
        <w:pBdr>
          <w:bottom w:val="single" w:color="2E5FA3" w:sz="8" w:space="4"/>
        </w:pBdr>
        <w:spacing w:before="280" w:after="100"/>
      </w:pPr>
      <w:r>
        <w:rPr>
          <w:rFonts w:ascii="Arial" w:cs="Arial" w:eastAsia="Arial" w:hAnsi="Arial"/>
          <w:b/>
          <w:bCs/>
          <w:color w:val="1F3864"/>
          <w:sz w:val="26"/>
          <w:szCs w:val="26"/>
        </w:rPr>
        <w:t xml:space="preserve">7. Post-Implementation Verification</w:t>
      </w:r>
    </w:p>
    <w:p>
      <w:pPr>
        <w:spacing w:before="60" w:after="60"/>
      </w:pPr>
      <w:r>
        <w:t xml:space="preserve"/>
      </w:r>
    </w:p>
    <w:p>
      <w:pPr>
        <w:spacing w:before="0" w:after="120"/>
      </w:pPr>
      <w:r>
        <w:rPr>
          <w:rFonts w:ascii="Arial" w:cs="Arial" w:eastAsia="Arial" w:hAnsi="Arial"/>
          <w:sz w:val="20"/>
          <w:szCs w:val="20"/>
        </w:rPr>
        <w:t xml:space="preserve">All rules were verified through live testing immediately following implementation. Wazuh SIEM (SRV-SIEM01) was active with all 4 agents reporting throughout the verification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000"/>
        <w:gridCol w:w="2160"/>
      </w:tblGrid>
      <w:tr>
        <w:trPr>
          <w:tblHeader/>
        </w:trPr>
        <w:tc>
          <w:tcPr>
            <w:tcW w:type="dxa" w:w="2200"/>
            <w:tcBorders>
              <w:top w:val="single" w:color="AABFD4" w:sz="1"/>
              <w:left w:val="single" w:color="AABFD4" w:sz="1"/>
              <w:bottom w:val="single" w:color="AABFD4" w:sz="1"/>
              <w:right w:val="single" w:color="AABFD4" w:sz="1"/>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18"/>
                <w:szCs w:val="18"/>
              </w:rPr>
              <w:t xml:space="preserve">Test</w:t>
            </w:r>
          </w:p>
        </w:tc>
        <w:tc>
          <w:tcPr>
            <w:tcW w:type="dxa" w:w="3000"/>
            <w:tcBorders>
              <w:top w:val="single" w:color="AABFD4" w:sz="1"/>
              <w:left w:val="single" w:color="AABFD4" w:sz="1"/>
              <w:bottom w:val="single" w:color="AABFD4" w:sz="1"/>
              <w:right w:val="single" w:color="AABFD4" w:sz="1"/>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18"/>
                <w:szCs w:val="18"/>
              </w:rPr>
              <w:t xml:space="preserve">Method</w:t>
            </w:r>
          </w:p>
        </w:tc>
        <w:tc>
          <w:tcPr>
            <w:tcW w:type="dxa" w:w="2000"/>
            <w:tcBorders>
              <w:top w:val="single" w:color="AABFD4" w:sz="1"/>
              <w:left w:val="single" w:color="AABFD4" w:sz="1"/>
              <w:bottom w:val="single" w:color="AABFD4" w:sz="1"/>
              <w:right w:val="single" w:color="AABFD4" w:sz="1"/>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18"/>
                <w:szCs w:val="18"/>
              </w:rPr>
              <w:t xml:space="preserve">Tool / Evidence</w:t>
            </w:r>
          </w:p>
        </w:tc>
        <w:tc>
          <w:tcPr>
            <w:tcW w:type="dxa" w:w="2160"/>
            <w:tcBorders>
              <w:top w:val="single" w:color="AABFD4" w:sz="1"/>
              <w:left w:val="single" w:color="AABFD4" w:sz="1"/>
              <w:bottom w:val="single" w:color="AABFD4" w:sz="1"/>
              <w:right w:val="single" w:color="AABFD4" w:sz="1"/>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18"/>
                <w:szCs w:val="18"/>
              </w:rPr>
              <w:t xml:space="preserve">Result</w:t>
            </w:r>
          </w:p>
        </w:tc>
      </w:tr>
      <w:tr>
        <w:tc>
          <w:tcPr>
            <w:tcW w:type="dxa" w:w="2200"/>
            <w:tcBorders>
              <w:top w:val="single" w:color="AABFD4" w:sz="1"/>
              <w:left w:val="single" w:color="AABFD4" w:sz="1"/>
              <w:bottom w:val="single" w:color="AABFD4" w:sz="1"/>
              <w:right w:val="single" w:color="AABFD4" w:sz="1"/>
            </w:tcBorders>
            <w:shd w:fill="FFFFFF" w:val="clear"/>
            <w:tcMar>
              <w:top w:type="dxa" w:w="80"/>
              <w:left w:type="dxa" w:w="150"/>
              <w:bottom w:type="dxa" w:w="80"/>
              <w:right w:type="dxa" w:w="150"/>
            </w:tcMar>
            <w:vAlign w:val="center"/>
          </w:tcPr>
          <w:p>
            <w:r>
              <w:rPr>
                <w:rFonts w:ascii="Arial" w:cs="Arial" w:eastAsia="Arial" w:hAnsi="Arial"/>
                <w:b/>
                <w:bCs/>
                <w:color w:val="000000"/>
                <w:sz w:val="18"/>
                <w:szCs w:val="18"/>
              </w:rPr>
              <w:t xml:space="preserve">OPT2 → Servers BLOCK</w:t>
            </w:r>
          </w:p>
        </w:tc>
        <w:tc>
          <w:tcPr>
            <w:tcW w:type="dxa" w:w="3000"/>
            <w:tcBorders>
              <w:top w:val="single" w:color="AABFD4" w:sz="1"/>
              <w:left w:val="single" w:color="AABFD4" w:sz="1"/>
              <w:bottom w:val="single" w:color="AABFD4" w:sz="1"/>
              <w:right w:val="single" w:color="AABFD4"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Ran nmap from ATT-KALI01 (10.10.30.130) targeting 10.10.10.128; all ports filtered; no response received</w:t>
            </w:r>
          </w:p>
        </w:tc>
        <w:tc>
          <w:tcPr>
            <w:tcW w:type="dxa" w:w="2000"/>
            <w:tcBorders>
              <w:top w:val="single" w:color="AABFD4" w:sz="1"/>
              <w:left w:val="single" w:color="AABFD4" w:sz="1"/>
              <w:bottom w:val="single" w:color="AABFD4" w:sz="1"/>
              <w:right w:val="single" w:color="AABFD4"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ATT-KALI01 terminal + Wazuh</w:t>
            </w:r>
          </w:p>
        </w:tc>
        <w:tc>
          <w:tcPr>
            <w:tcW w:type="dxa" w:w="2160"/>
            <w:tcBorders>
              <w:top w:val="single" w:color="AABFD4" w:sz="1"/>
              <w:left w:val="single" w:color="AABFD4" w:sz="1"/>
              <w:bottom w:val="single" w:color="AABFD4" w:sz="1"/>
              <w:right w:val="single" w:color="AABFD4" w:sz="1"/>
            </w:tcBorders>
            <w:shd w:fill="FFFFFF" w:val="clear"/>
            <w:tcMar>
              <w:top w:type="dxa" w:w="80"/>
              <w:left w:type="dxa" w:w="150"/>
              <w:bottom w:type="dxa" w:w="80"/>
              <w:right w:type="dxa" w:w="150"/>
            </w:tcMar>
            <w:vAlign w:val="center"/>
          </w:tcPr>
          <w:p>
            <w:pPr>
              <w:jc w:val="center"/>
            </w:pPr>
            <w:r>
              <w:rPr>
                <w:rFonts w:ascii="Arial" w:cs="Arial" w:eastAsia="Arial" w:hAnsi="Arial"/>
                <w:b/>
                <w:bCs/>
                <w:color w:val="1A6B1A"/>
                <w:sz w:val="18"/>
                <w:szCs w:val="18"/>
              </w:rPr>
              <w:t xml:space="preserve">PASS</w:t>
            </w:r>
          </w:p>
        </w:tc>
      </w:tr>
      <w:tr>
        <w:tc>
          <w:tcPr>
            <w:tcW w:type="dxa" w:w="2200"/>
            <w:tcBorders>
              <w:top w:val="single" w:color="AABFD4" w:sz="1"/>
              <w:left w:val="single" w:color="AABFD4" w:sz="1"/>
              <w:bottom w:val="single" w:color="AABFD4" w:sz="1"/>
              <w:right w:val="single" w:color="AABFD4" w:sz="1"/>
            </w:tcBorders>
            <w:shd w:fill="EEF4FB" w:val="clear"/>
            <w:tcMar>
              <w:top w:type="dxa" w:w="80"/>
              <w:left w:type="dxa" w:w="150"/>
              <w:bottom w:type="dxa" w:w="80"/>
              <w:right w:type="dxa" w:w="150"/>
            </w:tcMar>
            <w:vAlign w:val="center"/>
          </w:tcPr>
          <w:p>
            <w:r>
              <w:rPr>
                <w:rFonts w:ascii="Arial" w:cs="Arial" w:eastAsia="Arial" w:hAnsi="Arial"/>
                <w:b/>
                <w:bCs/>
                <w:color w:val="000000"/>
                <w:sz w:val="18"/>
                <w:szCs w:val="18"/>
              </w:rPr>
              <w:t xml:space="preserve">OPT2 → Clients BLOCK</w:t>
            </w:r>
          </w:p>
        </w:tc>
        <w:tc>
          <w:tcPr>
            <w:tcW w:type="dxa" w:w="3000"/>
            <w:tcBorders>
              <w:top w:val="single" w:color="AABFD4" w:sz="1"/>
              <w:left w:val="single" w:color="AABFD4" w:sz="1"/>
              <w:bottom w:val="single" w:color="AABFD4" w:sz="1"/>
              <w:right w:val="single" w:color="AABFD4" w:sz="1"/>
            </w:tcBorders>
            <w:shd w:fill="EEF4FB"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Attempted ping and port scan from ATT-KALI01 to 10.10.20.134; all traffic dropped</w:t>
            </w:r>
          </w:p>
        </w:tc>
        <w:tc>
          <w:tcPr>
            <w:tcW w:type="dxa" w:w="2000"/>
            <w:tcBorders>
              <w:top w:val="single" w:color="AABFD4" w:sz="1"/>
              <w:left w:val="single" w:color="AABFD4" w:sz="1"/>
              <w:bottom w:val="single" w:color="AABFD4" w:sz="1"/>
              <w:right w:val="single" w:color="AABFD4" w:sz="1"/>
            </w:tcBorders>
            <w:shd w:fill="EEF4FB"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ATT-KALI01 terminal</w:t>
            </w:r>
          </w:p>
        </w:tc>
        <w:tc>
          <w:tcPr>
            <w:tcW w:type="dxa" w:w="2160"/>
            <w:tcBorders>
              <w:top w:val="single" w:color="AABFD4" w:sz="1"/>
              <w:left w:val="single" w:color="AABFD4" w:sz="1"/>
              <w:bottom w:val="single" w:color="AABFD4" w:sz="1"/>
              <w:right w:val="single" w:color="AABFD4" w:sz="1"/>
            </w:tcBorders>
            <w:shd w:fill="EEF4FB" w:val="clear"/>
            <w:tcMar>
              <w:top w:type="dxa" w:w="80"/>
              <w:left w:type="dxa" w:w="150"/>
              <w:bottom w:type="dxa" w:w="80"/>
              <w:right w:type="dxa" w:w="150"/>
            </w:tcMar>
            <w:vAlign w:val="center"/>
          </w:tcPr>
          <w:p>
            <w:pPr>
              <w:jc w:val="center"/>
            </w:pPr>
            <w:r>
              <w:rPr>
                <w:rFonts w:ascii="Arial" w:cs="Arial" w:eastAsia="Arial" w:hAnsi="Arial"/>
                <w:b/>
                <w:bCs/>
                <w:color w:val="1A6B1A"/>
                <w:sz w:val="18"/>
                <w:szCs w:val="18"/>
              </w:rPr>
              <w:t xml:space="preserve">PASS</w:t>
            </w:r>
          </w:p>
        </w:tc>
      </w:tr>
      <w:tr>
        <w:tc>
          <w:tcPr>
            <w:tcW w:type="dxa" w:w="2200"/>
            <w:tcBorders>
              <w:top w:val="single" w:color="AABFD4" w:sz="1"/>
              <w:left w:val="single" w:color="AABFD4" w:sz="1"/>
              <w:bottom w:val="single" w:color="AABFD4" w:sz="1"/>
              <w:right w:val="single" w:color="AABFD4" w:sz="1"/>
            </w:tcBorders>
            <w:shd w:fill="FFFFFF" w:val="clear"/>
            <w:tcMar>
              <w:top w:type="dxa" w:w="80"/>
              <w:left w:type="dxa" w:w="150"/>
              <w:bottom w:type="dxa" w:w="80"/>
              <w:right w:type="dxa" w:w="150"/>
            </w:tcMar>
            <w:vAlign w:val="center"/>
          </w:tcPr>
          <w:p>
            <w:r>
              <w:rPr>
                <w:rFonts w:ascii="Arial" w:cs="Arial" w:eastAsia="Arial" w:hAnsi="Arial"/>
                <w:b/>
                <w:bCs/>
                <w:color w:val="000000"/>
                <w:sz w:val="18"/>
                <w:szCs w:val="18"/>
              </w:rPr>
              <w:t xml:space="preserve">OPT2 → DMZ-VULN01 PASS</w:t>
            </w:r>
          </w:p>
        </w:tc>
        <w:tc>
          <w:tcPr>
            <w:tcW w:type="dxa" w:w="3000"/>
            <w:tcBorders>
              <w:top w:val="single" w:color="AABFD4" w:sz="1"/>
              <w:left w:val="single" w:color="AABFD4" w:sz="1"/>
              <w:bottom w:val="single" w:color="AABFD4" w:sz="1"/>
              <w:right w:val="single" w:color="AABFD4"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Confirmed nc 10.10.30.131 1524 shell access from ATT-KALI01; Metasploit module exploits functional</w:t>
            </w:r>
          </w:p>
        </w:tc>
        <w:tc>
          <w:tcPr>
            <w:tcW w:type="dxa" w:w="2000"/>
            <w:tcBorders>
              <w:top w:val="single" w:color="AABFD4" w:sz="1"/>
              <w:left w:val="single" w:color="AABFD4" w:sz="1"/>
              <w:bottom w:val="single" w:color="AABFD4" w:sz="1"/>
              <w:right w:val="single" w:color="AABFD4"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ATT-KALI01 terminal</w:t>
            </w:r>
          </w:p>
        </w:tc>
        <w:tc>
          <w:tcPr>
            <w:tcW w:type="dxa" w:w="2160"/>
            <w:tcBorders>
              <w:top w:val="single" w:color="AABFD4" w:sz="1"/>
              <w:left w:val="single" w:color="AABFD4" w:sz="1"/>
              <w:bottom w:val="single" w:color="AABFD4" w:sz="1"/>
              <w:right w:val="single" w:color="AABFD4" w:sz="1"/>
            </w:tcBorders>
            <w:shd w:fill="FFFFFF" w:val="clear"/>
            <w:tcMar>
              <w:top w:type="dxa" w:w="80"/>
              <w:left w:type="dxa" w:w="150"/>
              <w:bottom w:type="dxa" w:w="80"/>
              <w:right w:type="dxa" w:w="150"/>
            </w:tcMar>
            <w:vAlign w:val="center"/>
          </w:tcPr>
          <w:p>
            <w:pPr>
              <w:jc w:val="center"/>
            </w:pPr>
            <w:r>
              <w:rPr>
                <w:rFonts w:ascii="Arial" w:cs="Arial" w:eastAsia="Arial" w:hAnsi="Arial"/>
                <w:b/>
                <w:bCs/>
                <w:color w:val="1A6B1A"/>
                <w:sz w:val="18"/>
                <w:szCs w:val="18"/>
              </w:rPr>
              <w:t xml:space="preserve">PASS</w:t>
            </w:r>
          </w:p>
        </w:tc>
      </w:tr>
      <w:tr>
        <w:tc>
          <w:tcPr>
            <w:tcW w:type="dxa" w:w="2200"/>
            <w:tcBorders>
              <w:top w:val="single" w:color="AABFD4" w:sz="1"/>
              <w:left w:val="single" w:color="AABFD4" w:sz="1"/>
              <w:bottom w:val="single" w:color="AABFD4" w:sz="1"/>
              <w:right w:val="single" w:color="AABFD4" w:sz="1"/>
            </w:tcBorders>
            <w:shd w:fill="EEF4FB" w:val="clear"/>
            <w:tcMar>
              <w:top w:type="dxa" w:w="80"/>
              <w:left w:type="dxa" w:w="150"/>
              <w:bottom w:type="dxa" w:w="80"/>
              <w:right w:type="dxa" w:w="150"/>
            </w:tcMar>
            <w:vAlign w:val="center"/>
          </w:tcPr>
          <w:p>
            <w:r>
              <w:rPr>
                <w:rFonts w:ascii="Arial" w:cs="Arial" w:eastAsia="Arial" w:hAnsi="Arial"/>
                <w:b/>
                <w:bCs/>
                <w:color w:val="000000"/>
                <w:sz w:val="18"/>
                <w:szCs w:val="18"/>
              </w:rPr>
              <w:t xml:space="preserve">OPT1 Clients → Servers (AD ports)</w:t>
            </w:r>
          </w:p>
        </w:tc>
        <w:tc>
          <w:tcPr>
            <w:tcW w:type="dxa" w:w="3000"/>
            <w:tcBorders>
              <w:top w:val="single" w:color="AABFD4" w:sz="1"/>
              <w:left w:val="single" w:color="AABFD4" w:sz="1"/>
              <w:bottom w:val="single" w:color="AABFD4" w:sz="1"/>
              <w:right w:val="single" w:color="AABFD4" w:sz="1"/>
            </w:tcBorders>
            <w:shd w:fill="EEF4FB"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Domain join, GPO application, RDP to DC all functional from CLI-WIN11-01</w:t>
            </w:r>
          </w:p>
        </w:tc>
        <w:tc>
          <w:tcPr>
            <w:tcW w:type="dxa" w:w="2000"/>
            <w:tcBorders>
              <w:top w:val="single" w:color="AABFD4" w:sz="1"/>
              <w:left w:val="single" w:color="AABFD4" w:sz="1"/>
              <w:bottom w:val="single" w:color="AABFD4" w:sz="1"/>
              <w:right w:val="single" w:color="AABFD4" w:sz="1"/>
            </w:tcBorders>
            <w:shd w:fill="EEF4FB"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CLI-WIN11-01 Event Viewer + DC</w:t>
            </w:r>
          </w:p>
        </w:tc>
        <w:tc>
          <w:tcPr>
            <w:tcW w:type="dxa" w:w="2160"/>
            <w:tcBorders>
              <w:top w:val="single" w:color="AABFD4" w:sz="1"/>
              <w:left w:val="single" w:color="AABFD4" w:sz="1"/>
              <w:bottom w:val="single" w:color="AABFD4" w:sz="1"/>
              <w:right w:val="single" w:color="AABFD4" w:sz="1"/>
            </w:tcBorders>
            <w:shd w:fill="EEF4FB" w:val="clear"/>
            <w:tcMar>
              <w:top w:type="dxa" w:w="80"/>
              <w:left w:type="dxa" w:w="150"/>
              <w:bottom w:type="dxa" w:w="80"/>
              <w:right w:type="dxa" w:w="150"/>
            </w:tcMar>
            <w:vAlign w:val="center"/>
          </w:tcPr>
          <w:p>
            <w:pPr>
              <w:jc w:val="center"/>
            </w:pPr>
            <w:r>
              <w:rPr>
                <w:rFonts w:ascii="Arial" w:cs="Arial" w:eastAsia="Arial" w:hAnsi="Arial"/>
                <w:b/>
                <w:bCs/>
                <w:color w:val="1A6B1A"/>
                <w:sz w:val="18"/>
                <w:szCs w:val="18"/>
              </w:rPr>
              <w:t xml:space="preserve">PASS</w:t>
            </w:r>
          </w:p>
        </w:tc>
      </w:tr>
      <w:tr>
        <w:tc>
          <w:tcPr>
            <w:tcW w:type="dxa" w:w="2200"/>
            <w:tcBorders>
              <w:top w:val="single" w:color="AABFD4" w:sz="1"/>
              <w:left w:val="single" w:color="AABFD4" w:sz="1"/>
              <w:bottom w:val="single" w:color="AABFD4" w:sz="1"/>
              <w:right w:val="single" w:color="AABFD4" w:sz="1"/>
            </w:tcBorders>
            <w:shd w:fill="FFFFFF" w:val="clear"/>
            <w:tcMar>
              <w:top w:type="dxa" w:w="80"/>
              <w:left w:type="dxa" w:w="150"/>
              <w:bottom w:type="dxa" w:w="80"/>
              <w:right w:type="dxa" w:w="150"/>
            </w:tcMar>
            <w:vAlign w:val="center"/>
          </w:tcPr>
          <w:p>
            <w:r>
              <w:rPr>
                <w:rFonts w:ascii="Arial" w:cs="Arial" w:eastAsia="Arial" w:hAnsi="Arial"/>
                <w:b/>
                <w:bCs/>
                <w:color w:val="000000"/>
                <w:sz w:val="18"/>
                <w:szCs w:val="18"/>
              </w:rPr>
              <w:t xml:space="preserve">OPT1 Clients → Attack BLOCK</w:t>
            </w:r>
          </w:p>
        </w:tc>
        <w:tc>
          <w:tcPr>
            <w:tcW w:type="dxa" w:w="3000"/>
            <w:tcBorders>
              <w:top w:val="single" w:color="AABFD4" w:sz="1"/>
              <w:left w:val="single" w:color="AABFD4" w:sz="1"/>
              <w:bottom w:val="single" w:color="AABFD4" w:sz="1"/>
              <w:right w:val="single" w:color="AABFD4"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Ping and traceroute from CLI-WIN11-01 to 10.10.30.130 — all dropped</w:t>
            </w:r>
          </w:p>
        </w:tc>
        <w:tc>
          <w:tcPr>
            <w:tcW w:type="dxa" w:w="2000"/>
            <w:tcBorders>
              <w:top w:val="single" w:color="AABFD4" w:sz="1"/>
              <w:left w:val="single" w:color="AABFD4" w:sz="1"/>
              <w:bottom w:val="single" w:color="AABFD4" w:sz="1"/>
              <w:right w:val="single" w:color="AABFD4"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CLI-WIN11-01 terminal</w:t>
            </w:r>
          </w:p>
        </w:tc>
        <w:tc>
          <w:tcPr>
            <w:tcW w:type="dxa" w:w="2160"/>
            <w:tcBorders>
              <w:top w:val="single" w:color="AABFD4" w:sz="1"/>
              <w:left w:val="single" w:color="AABFD4" w:sz="1"/>
              <w:bottom w:val="single" w:color="AABFD4" w:sz="1"/>
              <w:right w:val="single" w:color="AABFD4" w:sz="1"/>
            </w:tcBorders>
            <w:shd w:fill="FFFFFF" w:val="clear"/>
            <w:tcMar>
              <w:top w:type="dxa" w:w="80"/>
              <w:left w:type="dxa" w:w="150"/>
              <w:bottom w:type="dxa" w:w="80"/>
              <w:right w:type="dxa" w:w="150"/>
            </w:tcMar>
            <w:vAlign w:val="center"/>
          </w:tcPr>
          <w:p>
            <w:pPr>
              <w:jc w:val="center"/>
            </w:pPr>
            <w:r>
              <w:rPr>
                <w:rFonts w:ascii="Arial" w:cs="Arial" w:eastAsia="Arial" w:hAnsi="Arial"/>
                <w:b/>
                <w:bCs/>
                <w:color w:val="1A6B1A"/>
                <w:sz w:val="18"/>
                <w:szCs w:val="18"/>
              </w:rPr>
              <w:t xml:space="preserve">PASS</w:t>
            </w:r>
          </w:p>
        </w:tc>
      </w:tr>
      <w:tr>
        <w:tc>
          <w:tcPr>
            <w:tcW w:type="dxa" w:w="2200"/>
            <w:tcBorders>
              <w:top w:val="single" w:color="AABFD4" w:sz="1"/>
              <w:left w:val="single" w:color="AABFD4" w:sz="1"/>
              <w:bottom w:val="single" w:color="AABFD4" w:sz="1"/>
              <w:right w:val="single" w:color="AABFD4" w:sz="1"/>
            </w:tcBorders>
            <w:shd w:fill="EEF4FB" w:val="clear"/>
            <w:tcMar>
              <w:top w:type="dxa" w:w="80"/>
              <w:left w:type="dxa" w:w="150"/>
              <w:bottom w:type="dxa" w:w="80"/>
              <w:right w:type="dxa" w:w="150"/>
            </w:tcMar>
            <w:vAlign w:val="center"/>
          </w:tcPr>
          <w:p>
            <w:r>
              <w:rPr>
                <w:rFonts w:ascii="Arial" w:cs="Arial" w:eastAsia="Arial" w:hAnsi="Arial"/>
                <w:b/>
                <w:bCs/>
                <w:color w:val="000000"/>
                <w:sz w:val="18"/>
                <w:szCs w:val="18"/>
              </w:rPr>
              <w:t xml:space="preserve">LAN Servers → Attack BLOCK</w:t>
            </w:r>
          </w:p>
        </w:tc>
        <w:tc>
          <w:tcPr>
            <w:tcW w:type="dxa" w:w="3000"/>
            <w:tcBorders>
              <w:top w:val="single" w:color="AABFD4" w:sz="1"/>
              <w:left w:val="single" w:color="AABFD4" w:sz="1"/>
              <w:bottom w:val="single" w:color="AABFD4" w:sz="1"/>
              <w:right w:val="single" w:color="AABFD4" w:sz="1"/>
            </w:tcBorders>
            <w:shd w:fill="EEF4FB"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Confirmed outbound from SRV-DC01 to 10.10.30.0/24 is blocked — T1041 C2 path closed</w:t>
            </w:r>
          </w:p>
        </w:tc>
        <w:tc>
          <w:tcPr>
            <w:tcW w:type="dxa" w:w="2000"/>
            <w:tcBorders>
              <w:top w:val="single" w:color="AABFD4" w:sz="1"/>
              <w:left w:val="single" w:color="AABFD4" w:sz="1"/>
              <w:bottom w:val="single" w:color="AABFD4" w:sz="1"/>
              <w:right w:val="single" w:color="AABFD4" w:sz="1"/>
            </w:tcBorders>
            <w:shd w:fill="EEF4FB"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SRV-DC01 + Wazuh</w:t>
            </w:r>
          </w:p>
        </w:tc>
        <w:tc>
          <w:tcPr>
            <w:tcW w:type="dxa" w:w="2160"/>
            <w:tcBorders>
              <w:top w:val="single" w:color="AABFD4" w:sz="1"/>
              <w:left w:val="single" w:color="AABFD4" w:sz="1"/>
              <w:bottom w:val="single" w:color="AABFD4" w:sz="1"/>
              <w:right w:val="single" w:color="AABFD4" w:sz="1"/>
            </w:tcBorders>
            <w:shd w:fill="EEF4FB" w:val="clear"/>
            <w:tcMar>
              <w:top w:type="dxa" w:w="80"/>
              <w:left w:type="dxa" w:w="150"/>
              <w:bottom w:type="dxa" w:w="80"/>
              <w:right w:type="dxa" w:w="150"/>
            </w:tcMar>
            <w:vAlign w:val="center"/>
          </w:tcPr>
          <w:p>
            <w:pPr>
              <w:jc w:val="center"/>
            </w:pPr>
            <w:r>
              <w:rPr>
                <w:rFonts w:ascii="Arial" w:cs="Arial" w:eastAsia="Arial" w:hAnsi="Arial"/>
                <w:b/>
                <w:bCs/>
                <w:color w:val="1A6B1A"/>
                <w:sz w:val="18"/>
                <w:szCs w:val="18"/>
              </w:rPr>
              <w:t xml:space="preserve">PASS</w:t>
            </w:r>
          </w:p>
        </w:tc>
      </w:tr>
      <w:tr>
        <w:tc>
          <w:tcPr>
            <w:tcW w:type="dxa" w:w="2200"/>
            <w:tcBorders>
              <w:top w:val="single" w:color="AABFD4" w:sz="1"/>
              <w:left w:val="single" w:color="AABFD4" w:sz="1"/>
              <w:bottom w:val="single" w:color="AABFD4" w:sz="1"/>
              <w:right w:val="single" w:color="AABFD4" w:sz="1"/>
            </w:tcBorders>
            <w:shd w:fill="FFFFFF" w:val="clear"/>
            <w:tcMar>
              <w:top w:type="dxa" w:w="80"/>
              <w:left w:type="dxa" w:w="150"/>
              <w:bottom w:type="dxa" w:w="80"/>
              <w:right w:type="dxa" w:w="150"/>
            </w:tcMar>
            <w:vAlign w:val="center"/>
          </w:tcPr>
          <w:p>
            <w:r>
              <w:rPr>
                <w:rFonts w:ascii="Arial" w:cs="Arial" w:eastAsia="Arial" w:hAnsi="Arial"/>
                <w:b/>
                <w:bCs/>
                <w:color w:val="000000"/>
                <w:sz w:val="18"/>
                <w:szCs w:val="18"/>
              </w:rPr>
              <w:t xml:space="preserve">WAN inbound BLOCK</w:t>
            </w:r>
          </w:p>
        </w:tc>
        <w:tc>
          <w:tcPr>
            <w:tcW w:type="dxa" w:w="3000"/>
            <w:tcBorders>
              <w:top w:val="single" w:color="AABFD4" w:sz="1"/>
              <w:left w:val="single" w:color="AABFD4" w:sz="1"/>
              <w:bottom w:val="single" w:color="AABFD4" w:sz="1"/>
              <w:right w:val="single" w:color="AABFD4"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No services reachable from VMnet8 WAN side; pfSense default deny confirmed active</w:t>
            </w:r>
          </w:p>
        </w:tc>
        <w:tc>
          <w:tcPr>
            <w:tcW w:type="dxa" w:w="2000"/>
            <w:tcBorders>
              <w:top w:val="single" w:color="AABFD4" w:sz="1"/>
              <w:left w:val="single" w:color="AABFD4" w:sz="1"/>
              <w:bottom w:val="single" w:color="AABFD4" w:sz="1"/>
              <w:right w:val="single" w:color="AABFD4"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pfSense firewall logs</w:t>
            </w:r>
          </w:p>
        </w:tc>
        <w:tc>
          <w:tcPr>
            <w:tcW w:type="dxa" w:w="2160"/>
            <w:tcBorders>
              <w:top w:val="single" w:color="AABFD4" w:sz="1"/>
              <w:left w:val="single" w:color="AABFD4" w:sz="1"/>
              <w:bottom w:val="single" w:color="AABFD4" w:sz="1"/>
              <w:right w:val="single" w:color="AABFD4" w:sz="1"/>
            </w:tcBorders>
            <w:shd w:fill="FFFFFF" w:val="clear"/>
            <w:tcMar>
              <w:top w:type="dxa" w:w="80"/>
              <w:left w:type="dxa" w:w="150"/>
              <w:bottom w:type="dxa" w:w="80"/>
              <w:right w:type="dxa" w:w="150"/>
            </w:tcMar>
            <w:vAlign w:val="center"/>
          </w:tcPr>
          <w:p>
            <w:pPr>
              <w:jc w:val="center"/>
            </w:pPr>
            <w:r>
              <w:rPr>
                <w:rFonts w:ascii="Arial" w:cs="Arial" w:eastAsia="Arial" w:hAnsi="Arial"/>
                <w:b/>
                <w:bCs/>
                <w:color w:val="1A6B1A"/>
                <w:sz w:val="18"/>
                <w:szCs w:val="18"/>
              </w:rPr>
              <w:t xml:space="preserve">PASS</w:t>
            </w:r>
          </w:p>
        </w:tc>
      </w:tr>
      <w:tr>
        <w:tc>
          <w:tcPr>
            <w:tcW w:type="dxa" w:w="2200"/>
            <w:tcBorders>
              <w:top w:val="single" w:color="AABFD4" w:sz="1"/>
              <w:left w:val="single" w:color="AABFD4" w:sz="1"/>
              <w:bottom w:val="single" w:color="AABFD4" w:sz="1"/>
              <w:right w:val="single" w:color="AABFD4" w:sz="1"/>
            </w:tcBorders>
            <w:shd w:fill="EEF4FB" w:val="clear"/>
            <w:tcMar>
              <w:top w:type="dxa" w:w="80"/>
              <w:left w:type="dxa" w:w="150"/>
              <w:bottom w:type="dxa" w:w="80"/>
              <w:right w:type="dxa" w:w="150"/>
            </w:tcMar>
            <w:vAlign w:val="center"/>
          </w:tcPr>
          <w:p>
            <w:r>
              <w:rPr>
                <w:rFonts w:ascii="Arial" w:cs="Arial" w:eastAsia="Arial" w:hAnsi="Arial"/>
                <w:b/>
                <w:bCs/>
                <w:color w:val="000000"/>
                <w:sz w:val="18"/>
                <w:szCs w:val="18"/>
              </w:rPr>
              <w:t xml:space="preserve">Wazuh alert on blocked traffic</w:t>
            </w:r>
          </w:p>
        </w:tc>
        <w:tc>
          <w:tcPr>
            <w:tcW w:type="dxa" w:w="3000"/>
            <w:tcBorders>
              <w:top w:val="single" w:color="AABFD4" w:sz="1"/>
              <w:left w:val="single" w:color="AABFD4" w:sz="1"/>
              <w:bottom w:val="single" w:color="AABFD4" w:sz="1"/>
              <w:right w:val="single" w:color="AABFD4" w:sz="1"/>
            </w:tcBorders>
            <w:shd w:fill="EEF4FB"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Wazuh Rule 1002 fired on repeated blocked attempts from ATT-KALI01 — confirmed SIEM visibility</w:t>
            </w:r>
          </w:p>
        </w:tc>
        <w:tc>
          <w:tcPr>
            <w:tcW w:type="dxa" w:w="2000"/>
            <w:tcBorders>
              <w:top w:val="single" w:color="AABFD4" w:sz="1"/>
              <w:left w:val="single" w:color="AABFD4" w:sz="1"/>
              <w:bottom w:val="single" w:color="AABFD4" w:sz="1"/>
              <w:right w:val="single" w:color="AABFD4" w:sz="1"/>
            </w:tcBorders>
            <w:shd w:fill="EEF4FB"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Wazuh Dashboard</w:t>
            </w:r>
          </w:p>
        </w:tc>
        <w:tc>
          <w:tcPr>
            <w:tcW w:type="dxa" w:w="2160"/>
            <w:tcBorders>
              <w:top w:val="single" w:color="AABFD4" w:sz="1"/>
              <w:left w:val="single" w:color="AABFD4" w:sz="1"/>
              <w:bottom w:val="single" w:color="AABFD4" w:sz="1"/>
              <w:right w:val="single" w:color="AABFD4" w:sz="1"/>
            </w:tcBorders>
            <w:shd w:fill="EEF4FB" w:val="clear"/>
            <w:tcMar>
              <w:top w:type="dxa" w:w="80"/>
              <w:left w:type="dxa" w:w="150"/>
              <w:bottom w:type="dxa" w:w="80"/>
              <w:right w:type="dxa" w:w="150"/>
            </w:tcMar>
            <w:vAlign w:val="center"/>
          </w:tcPr>
          <w:p>
            <w:pPr>
              <w:jc w:val="center"/>
            </w:pPr>
            <w:r>
              <w:rPr>
                <w:rFonts w:ascii="Arial" w:cs="Arial" w:eastAsia="Arial" w:hAnsi="Arial"/>
                <w:b/>
                <w:bCs/>
                <w:color w:val="1A6B1A"/>
                <w:sz w:val="18"/>
                <w:szCs w:val="18"/>
              </w:rPr>
              <w:t xml:space="preserve">PASS</w:t>
            </w:r>
          </w:p>
        </w:tc>
      </w:tr>
    </w:tbl>
    <w:p>
      <w:pPr>
        <w:spacing w:before="200" w:after="80"/>
      </w:pPr>
      <w:r>
        <w:t xml:space="preserve"/>
      </w:r>
    </w:p>
    <w:p>
      <w:pPr>
        <w:pBdr>
          <w:bottom w:val="single" w:color="2E5FA3" w:sz="8" w:space="4"/>
        </w:pBdr>
        <w:spacing w:before="280" w:after="100"/>
      </w:pPr>
      <w:r>
        <w:rPr>
          <w:rFonts w:ascii="Arial" w:cs="Arial" w:eastAsia="Arial" w:hAnsi="Arial"/>
          <w:b/>
          <w:bCs/>
          <w:color w:val="1F3864"/>
          <w:sz w:val="26"/>
          <w:szCs w:val="26"/>
        </w:rPr>
        <w:t xml:space="preserve">8. Approval &amp; Sign-Off</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000"/>
        <w:gridCol w:w="2160"/>
      </w:tblGrid>
      <w:tr>
        <w:tc>
          <w:tcPr>
            <w:tcW w:type="dxa" w:w="2800"/>
            <w:tcBorders>
              <w:top w:val="single" w:color="AABFD4" w:sz="1"/>
              <w:left w:val="single" w:color="AABFD4" w:sz="1"/>
              <w:bottom w:val="single" w:color="AABFD4" w:sz="1"/>
              <w:right w:val="single" w:color="AABFD4" w:sz="1"/>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18"/>
                <w:szCs w:val="18"/>
              </w:rPr>
              <w:t xml:space="preserve">Role</w:t>
            </w:r>
          </w:p>
        </w:tc>
        <w:tc>
          <w:tcPr>
            <w:tcW w:type="dxa" w:w="2400"/>
            <w:tcBorders>
              <w:top w:val="single" w:color="AABFD4" w:sz="1"/>
              <w:left w:val="single" w:color="AABFD4" w:sz="1"/>
              <w:bottom w:val="single" w:color="AABFD4" w:sz="1"/>
              <w:right w:val="single" w:color="AABFD4" w:sz="1"/>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18"/>
                <w:szCs w:val="18"/>
              </w:rPr>
              <w:t xml:space="preserve">Name</w:t>
            </w:r>
          </w:p>
        </w:tc>
        <w:tc>
          <w:tcPr>
            <w:tcW w:type="dxa" w:w="2000"/>
            <w:tcBorders>
              <w:top w:val="single" w:color="AABFD4" w:sz="1"/>
              <w:left w:val="single" w:color="AABFD4" w:sz="1"/>
              <w:bottom w:val="single" w:color="AABFD4" w:sz="1"/>
              <w:right w:val="single" w:color="AABFD4" w:sz="1"/>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18"/>
                <w:szCs w:val="18"/>
              </w:rPr>
              <w:t xml:space="preserve">Date</w:t>
            </w:r>
          </w:p>
        </w:tc>
        <w:tc>
          <w:tcPr>
            <w:tcW w:type="dxa" w:w="2160"/>
            <w:tcBorders>
              <w:top w:val="single" w:color="AABFD4" w:sz="1"/>
              <w:left w:val="single" w:color="AABFD4" w:sz="1"/>
              <w:bottom w:val="single" w:color="AABFD4" w:sz="1"/>
              <w:right w:val="single" w:color="AABFD4" w:sz="1"/>
            </w:tcBorders>
            <w:shd w:fill="1F3864" w:val="clear"/>
            <w:tcMar>
              <w:top w:type="dxa" w:w="100"/>
              <w:left w:type="dxa" w:w="150"/>
              <w:bottom w:type="dxa" w:w="100"/>
              <w:right w:type="dxa" w:w="150"/>
            </w:tcMar>
            <w:vAlign w:val="center"/>
          </w:tcPr>
          <w:p>
            <w:pPr>
              <w:jc w:val="left"/>
            </w:pPr>
            <w:r>
              <w:rPr>
                <w:rFonts w:ascii="Arial" w:cs="Arial" w:eastAsia="Arial" w:hAnsi="Arial"/>
                <w:b/>
                <w:bCs/>
                <w:color w:val="FFFFFF"/>
                <w:sz w:val="18"/>
                <w:szCs w:val="18"/>
              </w:rPr>
              <w:t xml:space="preserve">Signature</w:t>
            </w:r>
          </w:p>
        </w:tc>
      </w:tr>
      <w:tr>
        <w:tc>
          <w:tcPr>
            <w:tcW w:type="dxa" w:w="2800"/>
            <w:tcBorders>
              <w:top w:val="single" w:color="AABFD4" w:sz="1"/>
              <w:left w:val="single" w:color="AABFD4" w:sz="1"/>
              <w:bottom w:val="single" w:color="AABFD4" w:sz="1"/>
              <w:right w:val="single" w:color="AABFD4" w:sz="1"/>
            </w:tcBorders>
            <w:shd w:fill="FFFFFF" w:val="clear"/>
            <w:tcMar>
              <w:top w:type="dxa" w:w="80"/>
              <w:left w:type="dxa" w:w="150"/>
              <w:bottom w:type="dxa" w:w="80"/>
              <w:right w:type="dxa" w:w="150"/>
            </w:tcMar>
            <w:vAlign w:val="center"/>
          </w:tcPr>
          <w:p>
            <w:r>
              <w:rPr>
                <w:rFonts w:ascii="Arial" w:cs="Arial" w:eastAsia="Arial" w:hAnsi="Arial"/>
                <w:b/>
                <w:bCs/>
                <w:color w:val="000000"/>
                <w:sz w:val="18"/>
                <w:szCs w:val="18"/>
              </w:rPr>
              <w:t xml:space="preserve">Change Implementer</w:t>
            </w:r>
          </w:p>
        </w:tc>
        <w:tc>
          <w:tcPr>
            <w:tcW w:type="dxa" w:w="2400"/>
            <w:tcBorders>
              <w:top w:val="single" w:color="AABFD4" w:sz="1"/>
              <w:left w:val="single" w:color="AABFD4" w:sz="1"/>
              <w:bottom w:val="single" w:color="AABFD4" w:sz="1"/>
              <w:right w:val="single" w:color="AABFD4"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Lab Administrator</w:t>
            </w:r>
          </w:p>
        </w:tc>
        <w:tc>
          <w:tcPr>
            <w:tcW w:type="dxa" w:w="2000"/>
            <w:tcBorders>
              <w:top w:val="single" w:color="AABFD4" w:sz="1"/>
              <w:left w:val="single" w:color="AABFD4" w:sz="1"/>
              <w:bottom w:val="single" w:color="AABFD4" w:sz="1"/>
              <w:right w:val="single" w:color="AABFD4"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February 28, 2026</w:t>
            </w:r>
          </w:p>
        </w:tc>
        <w:tc>
          <w:tcPr>
            <w:tcW w:type="dxa" w:w="2160"/>
            <w:tcBorders>
              <w:top w:val="single" w:color="AABFD4" w:sz="1"/>
              <w:left w:val="single" w:color="AABFD4" w:sz="1"/>
              <w:bottom w:val="single" w:color="AABFD4" w:sz="1"/>
              <w:right w:val="single" w:color="AABFD4"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Lab Environment — Self-Approved</w:t>
            </w:r>
          </w:p>
        </w:tc>
      </w:tr>
      <w:tr>
        <w:tc>
          <w:tcPr>
            <w:tcW w:type="dxa" w:w="2800"/>
            <w:tcBorders>
              <w:top w:val="single" w:color="AABFD4" w:sz="1"/>
              <w:left w:val="single" w:color="AABFD4" w:sz="1"/>
              <w:bottom w:val="single" w:color="AABFD4" w:sz="1"/>
              <w:right w:val="single" w:color="AABFD4" w:sz="1"/>
            </w:tcBorders>
            <w:shd w:fill="EEF4FB" w:val="clear"/>
            <w:tcMar>
              <w:top w:type="dxa" w:w="80"/>
              <w:left w:type="dxa" w:w="150"/>
              <w:bottom w:type="dxa" w:w="80"/>
              <w:right w:type="dxa" w:w="150"/>
            </w:tcMar>
            <w:vAlign w:val="center"/>
          </w:tcPr>
          <w:p>
            <w:r>
              <w:rPr>
                <w:rFonts w:ascii="Arial" w:cs="Arial" w:eastAsia="Arial" w:hAnsi="Arial"/>
                <w:b/>
                <w:bCs/>
                <w:color w:val="000000"/>
                <w:sz w:val="18"/>
                <w:szCs w:val="18"/>
              </w:rPr>
              <w:t xml:space="preserve">Change Reviewer</w:t>
            </w:r>
          </w:p>
        </w:tc>
        <w:tc>
          <w:tcPr>
            <w:tcW w:type="dxa" w:w="2400"/>
            <w:tcBorders>
              <w:top w:val="single" w:color="AABFD4" w:sz="1"/>
              <w:left w:val="single" w:color="AABFD4" w:sz="1"/>
              <w:bottom w:val="single" w:color="AABFD4" w:sz="1"/>
              <w:right w:val="single" w:color="AABFD4" w:sz="1"/>
            </w:tcBorders>
            <w:shd w:fill="EEF4FB"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Lab Administrator</w:t>
            </w:r>
          </w:p>
        </w:tc>
        <w:tc>
          <w:tcPr>
            <w:tcW w:type="dxa" w:w="2000"/>
            <w:tcBorders>
              <w:top w:val="single" w:color="AABFD4" w:sz="1"/>
              <w:left w:val="single" w:color="AABFD4" w:sz="1"/>
              <w:bottom w:val="single" w:color="AABFD4" w:sz="1"/>
              <w:right w:val="single" w:color="AABFD4" w:sz="1"/>
            </w:tcBorders>
            <w:shd w:fill="EEF4FB"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February 28, 2026</w:t>
            </w:r>
          </w:p>
        </w:tc>
        <w:tc>
          <w:tcPr>
            <w:tcW w:type="dxa" w:w="2160"/>
            <w:tcBorders>
              <w:top w:val="single" w:color="AABFD4" w:sz="1"/>
              <w:left w:val="single" w:color="AABFD4" w:sz="1"/>
              <w:bottom w:val="single" w:color="AABFD4" w:sz="1"/>
              <w:right w:val="single" w:color="AABFD4" w:sz="1"/>
            </w:tcBorders>
            <w:shd w:fill="EEF4FB"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Lab Environment — Self-Approved</w:t>
            </w:r>
          </w:p>
        </w:tc>
      </w:tr>
      <w:tr>
        <w:tc>
          <w:tcPr>
            <w:tcW w:type="dxa" w:w="2800"/>
            <w:tcBorders>
              <w:top w:val="single" w:color="AABFD4" w:sz="1"/>
              <w:left w:val="single" w:color="AABFD4" w:sz="1"/>
              <w:bottom w:val="single" w:color="AABFD4" w:sz="1"/>
              <w:right w:val="single" w:color="AABFD4" w:sz="1"/>
            </w:tcBorders>
            <w:shd w:fill="FFFFFF" w:val="clear"/>
            <w:tcMar>
              <w:top w:type="dxa" w:w="80"/>
              <w:left w:type="dxa" w:w="150"/>
              <w:bottom w:type="dxa" w:w="80"/>
              <w:right w:type="dxa" w:w="150"/>
            </w:tcMar>
            <w:vAlign w:val="center"/>
          </w:tcPr>
          <w:p>
            <w:r>
              <w:rPr>
                <w:rFonts w:ascii="Arial" w:cs="Arial" w:eastAsia="Arial" w:hAnsi="Arial"/>
                <w:b/>
                <w:bCs/>
                <w:color w:val="000000"/>
                <w:sz w:val="18"/>
                <w:szCs w:val="18"/>
              </w:rPr>
              <w:t xml:space="preserve">Lab Owner</w:t>
            </w:r>
          </w:p>
        </w:tc>
        <w:tc>
          <w:tcPr>
            <w:tcW w:type="dxa" w:w="2400"/>
            <w:tcBorders>
              <w:top w:val="single" w:color="AABFD4" w:sz="1"/>
              <w:left w:val="single" w:color="AABFD4" w:sz="1"/>
              <w:bottom w:val="single" w:color="AABFD4" w:sz="1"/>
              <w:right w:val="single" w:color="AABFD4"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Lab Administrator</w:t>
            </w:r>
          </w:p>
        </w:tc>
        <w:tc>
          <w:tcPr>
            <w:tcW w:type="dxa" w:w="2000"/>
            <w:tcBorders>
              <w:top w:val="single" w:color="AABFD4" w:sz="1"/>
              <w:left w:val="single" w:color="AABFD4" w:sz="1"/>
              <w:bottom w:val="single" w:color="AABFD4" w:sz="1"/>
              <w:right w:val="single" w:color="AABFD4"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February 28, 2026</w:t>
            </w:r>
          </w:p>
        </w:tc>
        <w:tc>
          <w:tcPr>
            <w:tcW w:type="dxa" w:w="2160"/>
            <w:tcBorders>
              <w:top w:val="single" w:color="AABFD4" w:sz="1"/>
              <w:left w:val="single" w:color="AABFD4" w:sz="1"/>
              <w:bottom w:val="single" w:color="AABFD4" w:sz="1"/>
              <w:right w:val="single" w:color="AABFD4" w:sz="1"/>
            </w:tcBorders>
            <w:shd w:fill="FFFFFF"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Lab Environment — Self-Approved</w:t>
            </w:r>
          </w:p>
        </w:tc>
      </w:tr>
    </w:tbl>
    <w:p>
      <w:pPr>
        <w:spacing w:before="200" w:after="80"/>
      </w:pPr>
      <w:r>
        <w:t xml:space="preserve"/>
      </w:r>
    </w:p>
    <w:p>
      <w:pPr>
        <w:pBdr>
          <w:bottom w:val="single" w:color="2E5FA3" w:sz="8" w:space="4"/>
        </w:pBdr>
        <w:spacing w:before="280" w:after="100"/>
      </w:pPr>
      <w:r>
        <w:rPr>
          <w:rFonts w:ascii="Arial" w:cs="Arial" w:eastAsia="Arial" w:hAnsi="Arial"/>
          <w:b/>
          <w:bCs/>
          <w:color w:val="1F3864"/>
          <w:sz w:val="26"/>
          <w:szCs w:val="26"/>
        </w:rPr>
        <w:t xml:space="preserve">9. Lessons Learned &amp; Notes</w:t>
      </w:r>
    </w:p>
    <w:p>
      <w:pPr>
        <w:spacing w:before="60" w:after="60"/>
      </w:pPr>
      <w:r>
        <w:t xml:space="preserve"/>
      </w:r>
    </w:p>
    <w:p>
      <w:pPr>
        <w:pStyle w:val="ListParagraph"/>
        <w:numPr>
          <w:ilvl w:val="0"/>
          <w:numId w:val="2"/>
        </w:numPr>
        <w:spacing w:before="60" w:after="60"/>
      </w:pPr>
      <w:r>
        <w:rPr>
          <w:rFonts w:ascii="Arial" w:cs="Arial" w:eastAsia="Arial" w:hAnsi="Arial"/>
          <w:sz w:val="18"/>
          <w:szCs w:val="18"/>
        </w:rPr>
        <w:t xml:space="preserve">pfSense evaluates rules top-to-bottom per interface — rule ordering matters. Specific PASS rules for DMZ-VULN01 were placed above the broader BLOCK rules to ensure they matched first.</w:t>
      </w:r>
    </w:p>
    <w:p>
      <w:pPr>
        <w:pStyle w:val="ListParagraph"/>
        <w:numPr>
          <w:ilvl w:val="0"/>
          <w:numId w:val="2"/>
        </w:numPr>
        <w:spacing w:before="60" w:after="60"/>
      </w:pPr>
      <w:r>
        <w:rPr>
          <w:rFonts w:ascii="Arial" w:cs="Arial" w:eastAsia="Arial" w:hAnsi="Arial"/>
          <w:sz w:val="18"/>
          <w:szCs w:val="18"/>
        </w:rPr>
        <w:t xml:space="preserve">The Clients zone (OPT1) requires port-specific PASS rules for AD authentication (DNS/88/389/445/3389) before any broad BLOCK rules. Without this, domain logins and Group Policy fail.</w:t>
      </w:r>
    </w:p>
    <w:p>
      <w:pPr>
        <w:pStyle w:val="ListParagraph"/>
        <w:numPr>
          <w:ilvl w:val="0"/>
          <w:numId w:val="2"/>
        </w:numPr>
        <w:spacing w:before="60" w:after="60"/>
      </w:pPr>
      <w:r>
        <w:rPr>
          <w:rFonts w:ascii="Arial" w:cs="Arial" w:eastAsia="Arial" w:hAnsi="Arial"/>
          <w:sz w:val="18"/>
          <w:szCs w:val="18"/>
        </w:rPr>
        <w:t xml:space="preserve">Wazuh alert visibility on blocked traffic confirmed that SIEM coverage extends to network-layer events, not just host-based telemetry — critical validation for SOC simulation.</w:t>
      </w:r>
    </w:p>
    <w:p>
      <w:pPr>
        <w:pStyle w:val="ListParagraph"/>
        <w:numPr>
          <w:ilvl w:val="0"/>
          <w:numId w:val="2"/>
        </w:numPr>
        <w:spacing w:before="60" w:after="60"/>
      </w:pPr>
      <w:r>
        <w:rPr>
          <w:rFonts w:ascii="Arial" w:cs="Arial" w:eastAsia="Arial" w:hAnsi="Arial"/>
          <w:sz w:val="18"/>
          <w:szCs w:val="18"/>
        </w:rPr>
        <w:t xml:space="preserve">This change directly supports MITRE ATT&amp;CK detection coverage for T1021 (Remote Services), T1046 (Network Service Scanning), T1041 (Exfiltration Over C2), and T1078 (Valid Accounts).</w:t>
      </w:r>
    </w:p>
    <w:p>
      <w:pPr>
        <w:spacing w:before="100" w:after="100"/>
      </w:pPr>
      <w:r>
        <w:t xml:space="preserve"/>
      </w:r>
    </w:p>
    <w:p>
      <w:pPr>
        <w:pBdr>
          <w:top w:val="single" w:color="AABFD4" w:sz="6" w:space="4"/>
        </w:pBdr>
        <w:spacing w:before="200" w:after="0"/>
        <w:jc w:val="center"/>
      </w:pPr>
      <w:r>
        <w:rPr>
          <w:rFonts w:ascii="Arial" w:cs="Arial" w:eastAsia="Arial" w:hAnsi="Arial"/>
          <w:color w:val="888888"/>
          <w:sz w:val="16"/>
          <w:szCs w:val="16"/>
        </w:rPr>
        <w:t xml:space="preserve">Change Management Log — CHG-2026-010 | lab.local Home Lab | February 28,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6" w:space="4"/>
      </w:pBdr>
      <w:tabs>
        <w:tab w:val="right" w:pos="9026"/>
      </w:tabs>
      <w:spacing w:before="0"/>
    </w:pPr>
    <w:r>
      <w:rPr>
        <w:rFonts w:ascii="Arial" w:cs="Arial" w:eastAsia="Arial" w:hAnsi="Arial"/>
        <w:color w:val="888888"/>
        <w:sz w:val="16"/>
        <w:szCs w:val="16"/>
      </w:rPr>
      <w:t xml:space="preserve">CONFIDENTIAL — LAB USE ONLY</w:t>
    </w:r>
    <w:r>
      <w:rPr>
        <w:rFonts w:ascii="Arial" w:cs="Arial" w:eastAsia="Arial" w:hAnsi="Arial"/>
        <w:color w:val="888888"/>
        <w:sz w:val="16"/>
        <w:szCs w:val="16"/>
      </w:rPr>
      <w:t xml:space="preserve">	Page </w:t>
    </w:r>
    <w:r>
      <w:rPr>
        <w:rFonts w:ascii="Arial" w:cs="Arial" w:eastAsia="Arial" w:hAnsi="Arial"/>
        <w:color w:val="888888"/>
        <w:sz w:val="16"/>
        <w:szCs w:val="16"/>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8" w:space="4"/>
      </w:pBdr>
      <w:spacing w:after="0"/>
    </w:pPr>
    <w:r>
      <w:rPr>
        <w:rFonts w:ascii="Arial" w:cs="Arial" w:eastAsia="Arial" w:hAnsi="Arial"/>
        <w:b/>
        <w:bCs/>
        <w:color w:val="1F3864"/>
        <w:sz w:val="18"/>
        <w:szCs w:val="18"/>
      </w:rPr>
      <w:t xml:space="preserve">CHANGE MANAGEMENT LOG — FIREWALL HARDENING (PHASE 10)</w:t>
    </w:r>
    <w:r>
      <w:rPr>
        <w:rFonts w:ascii="Arial" w:cs="Arial" w:eastAsia="Arial" w:hAnsi="Arial"/>
        <w:color w:val="666666"/>
        <w:sz w:val="18"/>
        <w:szCs w:val="18"/>
      </w:rPr>
      <w:t xml:space="preserve">   |   lab.local Home Lab</w:t>
    </w:r>
  </w:p>
  <w:p>
    <w:pPr>
      <w:spacing w:before="60" w:after="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2026-02-28T19:45:11.546Z</dcterms:created>
  <dcterms:modified xsi:type="dcterms:W3CDTF">2026-02-28T19:45:11.547Z</dcterms:modified>
</cp:coreProperties>
</file>

<file path=docProps/custom.xml><?xml version="1.0" encoding="utf-8"?>
<Properties xmlns="http://schemas.openxmlformats.org/officeDocument/2006/custom-properties" xmlns:vt="http://schemas.openxmlformats.org/officeDocument/2006/docPropsVTypes"/>
</file>