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B2545"/>
          <w:sz w:val="36"/>
        </w:rPr>
        <w:t>Technical Supplement</w:t>
      </w:r>
    </w:p>
    <w:p>
      <w:pPr>
        <w:spacing w:after="160"/>
      </w:pPr>
      <w:r>
        <w:rPr>
          <w:color w:val="555555"/>
          <w:sz w:val="20"/>
        </w:rPr>
        <w:t>Reproducibility notes for A Deterministic Evidence Gate for Pharmacogenomic LLM Alerts: Synthetic Stress-Testing with Ablation</w:t>
      </w:r>
    </w:p>
    <w:p>
      <w:pPr>
        <w:pStyle w:val="Heading1"/>
      </w:pPr>
      <w:r>
        <w:t>Safety Boundary</w:t>
      </w:r>
    </w:p>
    <w:p>
      <w:r>
        <w:t>Synthetic-only research artifact. No real patient data, protected health information, diagnosis, or treatment recommendation. The deterministic monitor evaluates claim permission levels from structured annotations; text-only extraction is evaluated separately and remains below the oracle annotation ceiling.</w:t>
      </w:r>
    </w:p>
    <w:p>
      <w:pPr>
        <w:pStyle w:val="Heading1"/>
      </w:pPr>
      <w:r>
        <w:t>Reproducibility Commands</w:t>
      </w:r>
    </w:p>
    <w:p>
      <w:pPr>
        <w:pStyle w:val="ListBullet"/>
        <w:spacing w:after="40"/>
      </w:pPr>
      <w:r>
        <w:t>py -3.13 code\pruned_evidence_gate.py</w:t>
      </w:r>
    </w:p>
    <w:p>
      <w:pPr>
        <w:pStyle w:val="ListBullet"/>
        <w:spacing w:after="40"/>
      </w:pPr>
      <w:r>
        <w:t>py -3.13 code\llm_self_evaluation_baseline.py</w:t>
      </w:r>
    </w:p>
    <w:p>
      <w:pPr>
        <w:pStyle w:val="ListBullet"/>
        <w:spacing w:after="40"/>
      </w:pPr>
      <w:r>
        <w:t>py -3.13 code\text_only_extraction.py</w:t>
      </w:r>
    </w:p>
    <w:p>
      <w:pPr>
        <w:pStyle w:val="ListBullet"/>
        <w:spacing w:after="40"/>
      </w:pPr>
      <w:r>
        <w:t>py -3.13 code\analyze_text_extraction_outputs.py</w:t>
      </w:r>
    </w:p>
    <w:p>
      <w:pPr>
        <w:pStyle w:val="ListBullet"/>
        <w:spacing w:after="40"/>
      </w:pPr>
      <w:r>
        <w:t>py -3.13 code\heldout_case_authoring.py</w:t>
      </w:r>
    </w:p>
    <w:p>
      <w:pPr>
        <w:pStyle w:val="ListBullet"/>
        <w:spacing w:after="40"/>
      </w:pPr>
      <w:r>
        <w:t>py -3.13 code\generate_paper_assets.py</w:t>
      </w:r>
    </w:p>
    <w:p>
      <w:pPr>
        <w:pStyle w:val="ListBullet"/>
        <w:spacing w:after="40"/>
      </w:pPr>
      <w:r>
        <w:t>py -3.13 -m pytest code -q</w:t>
      </w:r>
    </w:p>
    <w:p>
      <w:pPr>
        <w:pStyle w:val="ListBullet"/>
        <w:spacing w:after="40"/>
      </w:pPr>
      <w:r>
        <w:t>py -3.13 code\build_submission_package.py</w:t>
      </w:r>
    </w:p>
    <w:p>
      <w:pPr>
        <w:pStyle w:val="Heading1"/>
      </w:pPr>
      <w:r>
        <w:t>Main Synthetic Case Bank</w:t>
      </w:r>
    </w:p>
    <w:p>
      <w:r>
        <w:t>The final case matrix contains 33 author-designed synthetic cases: 10 bounded aligned alerts and 23 designed overclaim archetypes. The 23/10 split is stress-test coverage, not a measured clinical base rate.</w:t>
      </w:r>
    </w:p>
    <w:tbl>
      <w:tblPr>
        <w:tblStyle w:val="TableGrid"/>
        <w:tblW w:type="auto" w:w="0"/>
        <w:jc w:val="left"/>
        <w:tblLayout w:type="fixed"/>
        <w:tblLook w:firstColumn="1" w:firstRow="1" w:lastColumn="0" w:lastRow="0" w:noHBand="0" w:noVBand="1" w:val="04A0"/>
        <w:tblCellMar>
          <w:top w:w="80" w:type="dxa"/>
          <w:start w:w="120" w:type="dxa"/>
          <w:bottom w:w="80" w:type="dxa"/>
          <w:end w:w="120" w:type="dxa"/>
        </w:tblCellMar>
      </w:tblPr>
      <w:tblGrid>
        <w:gridCol w:w="5040"/>
        <w:gridCol w:w="5040"/>
      </w:tblGrid>
      <w:tr>
        <w:tc>
          <w:tcPr>
            <w:tcW w:type="dxa" w:w="4464"/>
            <w:vAlign w:val="center"/>
            <w:shd w:fill="E8EEF5"/>
          </w:tcPr>
          <w:p>
            <w:r>
              <w:rPr>
                <w:b/>
              </w:rPr>
              <w:t>Metric</w:t>
            </w:r>
          </w:p>
        </w:tc>
        <w:tc>
          <w:tcPr>
            <w:tcW w:type="dxa" w:w="5616"/>
            <w:vAlign w:val="center"/>
            <w:shd w:fill="E8EEF5"/>
          </w:tcPr>
          <w:p>
            <w:r>
              <w:rPr>
                <w:b/>
              </w:rPr>
              <w:t>Value</w:t>
            </w:r>
          </w:p>
        </w:tc>
      </w:tr>
      <w:tr>
        <w:tc>
          <w:tcPr>
            <w:tcW w:type="dxa" w:w="5040"/>
          </w:tcPr>
          <w:p>
            <w:r>
              <w:t>Case count</w:t>
            </w:r>
          </w:p>
        </w:tc>
        <w:tc>
          <w:tcPr>
            <w:tcW w:type="dxa" w:w="5040"/>
          </w:tcPr>
          <w:p>
            <w:r>
              <w:t>33</w:t>
            </w:r>
          </w:p>
        </w:tc>
      </w:tr>
      <w:tr>
        <w:tc>
          <w:tcPr>
            <w:tcW w:type="dxa" w:w="5040"/>
          </w:tcPr>
          <w:p>
            <w:r>
              <w:t>Author-designed overclaim cases</w:t>
            </w:r>
          </w:p>
        </w:tc>
        <w:tc>
          <w:tcPr>
            <w:tcW w:type="dxa" w:w="5040"/>
          </w:tcPr>
          <w:p>
            <w:r>
              <w:t>23</w:t>
            </w:r>
          </w:p>
        </w:tc>
      </w:tr>
      <w:tr>
        <w:tc>
          <w:tcPr>
            <w:tcW w:type="dxa" w:w="5040"/>
          </w:tcPr>
          <w:p>
            <w:r>
              <w:t>Bounded aligned alerts</w:t>
            </w:r>
          </w:p>
        </w:tc>
        <w:tc>
          <w:tcPr>
            <w:tcW w:type="dxa" w:w="5040"/>
          </w:tcPr>
          <w:p>
            <w:r>
              <w:t>10</w:t>
            </w:r>
          </w:p>
        </w:tc>
      </w:tr>
      <w:tr>
        <w:tc>
          <w:tcPr>
            <w:tcW w:type="dxa" w:w="5040"/>
          </w:tcPr>
          <w:p>
            <w:r>
              <w:t>Full monitor overclaims allowed unchanged</w:t>
            </w:r>
          </w:p>
        </w:tc>
        <w:tc>
          <w:tcPr>
            <w:tcW w:type="dxa" w:w="5040"/>
          </w:tcPr>
          <w:p>
            <w:r>
              <w:t>0/23</w:t>
            </w:r>
          </w:p>
        </w:tc>
      </w:tr>
      <w:tr>
        <w:tc>
          <w:tcPr>
            <w:tcW w:type="dxa" w:w="5040"/>
          </w:tcPr>
          <w:p>
            <w:r>
              <w:t>Bounded alerts preserved</w:t>
            </w:r>
          </w:p>
        </w:tc>
        <w:tc>
          <w:tcPr>
            <w:tcW w:type="dxa" w:w="5040"/>
          </w:tcPr>
          <w:p>
            <w:r>
              <w:t>10/10</w:t>
            </w:r>
          </w:p>
        </w:tc>
      </w:tr>
      <w:tr>
        <w:tc>
          <w:tcPr>
            <w:tcW w:type="dxa" w:w="5040"/>
          </w:tcPr>
          <w:p>
            <w:r>
              <w:t>Inappropriate denials</w:t>
            </w:r>
          </w:p>
        </w:tc>
        <w:tc>
          <w:tcPr>
            <w:tcW w:type="dxa" w:w="5040"/>
          </w:tcPr>
          <w:p>
            <w:r>
              <w:t>0/10</w:t>
            </w:r>
          </w:p>
        </w:tc>
      </w:tr>
      <w:tr>
        <w:tc>
          <w:tcPr>
            <w:tcW w:type="dxa" w:w="5040"/>
          </w:tcPr>
          <w:p>
            <w:r>
              <w:t>Action conformance</w:t>
            </w:r>
          </w:p>
        </w:tc>
        <w:tc>
          <w:tcPr>
            <w:tcW w:type="dxa" w:w="5040"/>
          </w:tcPr>
          <w:p>
            <w:r>
              <w:t>33/33</w:t>
            </w:r>
          </w:p>
        </w:tc>
      </w:tr>
      <w:tr>
        <w:tc>
          <w:tcPr>
            <w:tcW w:type="dxa" w:w="5040"/>
          </w:tcPr>
          <w:p>
            <w:r>
              <w:t>Primary-check conformance</w:t>
            </w:r>
          </w:p>
        </w:tc>
        <w:tc>
          <w:tcPr>
            <w:tcW w:type="dxa" w:w="5040"/>
          </w:tcPr>
          <w:p>
            <w:r>
              <w:t>31/33</w:t>
            </w:r>
          </w:p>
        </w:tc>
      </w:tr>
      <w:tr>
        <w:tc>
          <w:tcPr>
            <w:tcW w:type="dxa" w:w="5040"/>
          </w:tcPr>
          <w:p>
            <w:r>
              <w:t>Precedence-sensitive cases</w:t>
            </w:r>
          </w:p>
        </w:tc>
        <w:tc>
          <w:tcPr>
            <w:tcW w:type="dxa" w:w="5040"/>
          </w:tcPr>
          <w:p>
            <w:r>
              <w:t>PGX19; PGX24</w:t>
            </w:r>
          </w:p>
        </w:tc>
      </w:tr>
    </w:tbl>
    <w:p>
      <w:r>
        <w:br w:type="page"/>
      </w:r>
    </w:p>
    <w:p>
      <w:pPr>
        <w:pStyle w:val="Heading1"/>
      </w:pPr>
      <w:r>
        <w:t>Ablation and Comparator Snapshot</w:t>
      </w:r>
    </w:p>
    <w:tbl>
      <w:tblPr>
        <w:tblStyle w:val="TableGrid"/>
        <w:tblW w:type="auto" w:w="0"/>
        <w:jc w:val="left"/>
        <w:tblLayout w:type="fixed"/>
        <w:tblLook w:firstColumn="1" w:firstRow="1" w:lastColumn="0" w:lastRow="0" w:noHBand="0" w:noVBand="1" w:val="04A0"/>
        <w:tblCellMar>
          <w:top w:w="80" w:type="dxa"/>
          <w:start w:w="120" w:type="dxa"/>
          <w:bottom w:w="80" w:type="dxa"/>
          <w:end w:w="120" w:type="dxa"/>
        </w:tblCellMar>
      </w:tblPr>
      <w:tblGrid>
        <w:gridCol w:w="5040"/>
        <w:gridCol w:w="5040"/>
      </w:tblGrid>
      <w:tr>
        <w:tc>
          <w:tcPr>
            <w:tcW w:type="dxa" w:w="3744"/>
            <w:vAlign w:val="center"/>
            <w:shd w:fill="E8EEF5"/>
          </w:tcPr>
          <w:p>
            <w:r>
              <w:rPr>
                <w:b/>
              </w:rPr>
              <w:t>Analysis</w:t>
            </w:r>
          </w:p>
        </w:tc>
        <w:tc>
          <w:tcPr>
            <w:tcW w:type="dxa" w:w="6336"/>
            <w:vAlign w:val="center"/>
            <w:shd w:fill="E8EEF5"/>
          </w:tcPr>
          <w:p>
            <w:r>
              <w:rPr>
                <w:b/>
              </w:rPr>
              <w:t>Result</w:t>
            </w:r>
          </w:p>
        </w:tc>
      </w:tr>
      <w:tr>
        <w:tc>
          <w:tcPr>
            <w:tcW w:type="dxa" w:w="5040"/>
          </w:tcPr>
          <w:p>
            <w:r>
              <w:t>Disable source support</w:t>
            </w:r>
          </w:p>
        </w:tc>
        <w:tc>
          <w:tcPr>
            <w:tcW w:type="dxa" w:w="5040"/>
          </w:tcPr>
          <w:p>
            <w:r>
              <w:t>2/23 overclaims pass unchanged; 7 action changes; 12 primary-check changes.</w:t>
            </w:r>
          </w:p>
        </w:tc>
      </w:tr>
      <w:tr>
        <w:tc>
          <w:tcPr>
            <w:tcW w:type="dxa" w:w="5040"/>
          </w:tcPr>
          <w:p>
            <w:r>
              <w:t>Disable population fit</w:t>
            </w:r>
          </w:p>
        </w:tc>
        <w:tc>
          <w:tcPr>
            <w:tcW w:type="dxa" w:w="5040"/>
          </w:tcPr>
          <w:p>
            <w:r>
              <w:t>1/23 overclaim passes unchanged; 5 action changes; 5 primary-check changes.</w:t>
            </w:r>
          </w:p>
        </w:tc>
      </w:tr>
      <w:tr>
        <w:tc>
          <w:tcPr>
            <w:tcW w:type="dxa" w:w="5040"/>
          </w:tcPr>
          <w:p>
            <w:r>
              <w:t>Disable claim strength</w:t>
            </w:r>
          </w:p>
        </w:tc>
        <w:tc>
          <w:tcPr>
            <w:tcW w:type="dxa" w:w="5040"/>
          </w:tcPr>
          <w:p>
            <w:r>
              <w:t>6/23 overclaims pass unchanged; 6 action changes; 6 primary-check changes.</w:t>
            </w:r>
          </w:p>
        </w:tc>
      </w:tr>
      <w:tr>
        <w:tc>
          <w:tcPr>
            <w:tcW w:type="dxa" w:w="5040"/>
          </w:tcPr>
          <w:p>
            <w:r>
              <w:t>Ungated allow-all</w:t>
            </w:r>
          </w:p>
        </w:tc>
        <w:tc>
          <w:tcPr>
            <w:tcW w:type="dxa" w:w="5040"/>
          </w:tcPr>
          <w:p>
            <w:r>
              <w:t>23/23 overclaims pass unchanged.</w:t>
            </w:r>
          </w:p>
        </w:tc>
      </w:tr>
      <w:tr>
        <w:tc>
          <w:tcPr>
            <w:tcW w:type="dxa" w:w="5040"/>
          </w:tcPr>
          <w:p>
            <w:r>
              <w:t>Claim-strength-only</w:t>
            </w:r>
          </w:p>
        </w:tc>
        <w:tc>
          <w:tcPr>
            <w:tcW w:type="dxa" w:w="5040"/>
          </w:tcPr>
          <w:p>
            <w:r>
              <w:t>3/23 overclaims pass unchanged: PGX31, PGX32, PGX33.</w:t>
            </w:r>
          </w:p>
        </w:tc>
      </w:tr>
      <w:tr>
        <w:tc>
          <w:tcPr>
            <w:tcW w:type="dxa" w:w="5040"/>
          </w:tcPr>
          <w:p>
            <w:r>
              <w:t>Full three-check monitor</w:t>
            </w:r>
          </w:p>
        </w:tc>
        <w:tc>
          <w:tcPr>
            <w:tcW w:type="dxa" w:w="5040"/>
          </w:tcPr>
          <w:p>
            <w:r>
              <w:t>0/23 overclaims pass unchanged.</w:t>
            </w:r>
          </w:p>
        </w:tc>
      </w:tr>
    </w:tbl>
    <w:p>
      <w:pPr>
        <w:pStyle w:val="Heading1"/>
      </w:pPr>
      <w:r>
        <w:t>Structured-Label Translation Arms</w:t>
      </w:r>
    </w:p>
    <w:tbl>
      <w:tblPr>
        <w:tblStyle w:val="TableGrid"/>
        <w:tblW w:type="auto" w:w="0"/>
        <w:jc w:val="left"/>
        <w:tblLayout w:type="fixed"/>
        <w:tblLook w:firstColumn="1" w:firstRow="1" w:lastColumn="0" w:lastRow="0" w:noHBand="0" w:noVBand="1" w:val="04A0"/>
        <w:tblCellMar>
          <w:top w:w="80" w:type="dxa"/>
          <w:start w:w="120" w:type="dxa"/>
          <w:bottom w:w="80" w:type="dxa"/>
          <w:end w:w="120" w:type="dxa"/>
        </w:tblCellMar>
      </w:tblPr>
      <w:tblGrid>
        <w:gridCol w:w="3360"/>
        <w:gridCol w:w="3360"/>
        <w:gridCol w:w="3360"/>
      </w:tblGrid>
      <w:tr>
        <w:tc>
          <w:tcPr>
            <w:tcW w:type="dxa" w:w="2592"/>
            <w:vAlign w:val="center"/>
            <w:shd w:fill="E8EEF5"/>
          </w:tcPr>
          <w:p>
            <w:r>
              <w:rPr>
                <w:b/>
              </w:rPr>
              <w:t>Arm</w:t>
            </w:r>
          </w:p>
        </w:tc>
        <w:tc>
          <w:tcPr>
            <w:tcW w:type="dxa" w:w="3240"/>
            <w:vAlign w:val="center"/>
            <w:shd w:fill="E8EEF5"/>
          </w:tcPr>
          <w:p>
            <w:r>
              <w:rPr>
                <w:b/>
              </w:rPr>
              <w:t>Scope</w:t>
            </w:r>
          </w:p>
        </w:tc>
        <w:tc>
          <w:tcPr>
            <w:tcW w:type="dxa" w:w="4248"/>
            <w:vAlign w:val="center"/>
            <w:shd w:fill="E8EEF5"/>
          </w:tcPr>
          <w:p>
            <w:r>
              <w:rPr>
                <w:b/>
              </w:rPr>
              <w:t>Result</w:t>
            </w:r>
          </w:p>
        </w:tc>
      </w:tr>
      <w:tr>
        <w:tc>
          <w:tcPr>
            <w:tcW w:type="dxa" w:w="3360"/>
          </w:tcPr>
          <w:p>
            <w:r>
              <w:t>Arm A GPT-5.6-terra</w:t>
            </w:r>
          </w:p>
        </w:tc>
        <w:tc>
          <w:tcPr>
            <w:tcW w:type="dxa" w:w="3360"/>
          </w:tcPr>
          <w:p>
            <w:r>
              <w:t>Full 33-case bank with source-support labels</w:t>
            </w:r>
          </w:p>
        </w:tc>
        <w:tc>
          <w:tcPr>
            <w:tcW w:type="dxa" w:w="3360"/>
          </w:tcPr>
          <w:p>
            <w:r>
              <w:t>23/23 overclaims routed; 10/10 bounded alerts preserved; 31/33 action agreement; 25/33 primary-check agreement.</w:t>
            </w:r>
          </w:p>
        </w:tc>
      </w:tr>
      <w:tr>
        <w:tc>
          <w:tcPr>
            <w:tcW w:type="dxa" w:w="3360"/>
          </w:tcPr>
          <w:p>
            <w:r>
              <w:t>Arm A Grok-4.5</w:t>
            </w:r>
          </w:p>
        </w:tc>
        <w:tc>
          <w:tcPr>
            <w:tcW w:type="dxa" w:w="3360"/>
          </w:tcPr>
          <w:p>
            <w:r>
              <w:t>Full 33-case bank with source-support labels</w:t>
            </w:r>
          </w:p>
        </w:tc>
        <w:tc>
          <w:tcPr>
            <w:tcW w:type="dxa" w:w="3360"/>
          </w:tcPr>
          <w:p>
            <w:r>
              <w:t>23/23 overclaims routed; 10/10 bounded alerts preserved; 31/33 action agreement; 32/33 primary-check agreement.</w:t>
            </w:r>
          </w:p>
        </w:tc>
      </w:tr>
      <w:tr>
        <w:tc>
          <w:tcPr>
            <w:tcW w:type="dxa" w:w="3360"/>
          </w:tcPr>
          <w:p>
            <w:r>
              <w:t>Arm B GPT-5.6-terra</w:t>
            </w:r>
          </w:p>
        </w:tc>
        <w:tc>
          <w:tcPr>
            <w:tcW w:type="dxa" w:w="3360"/>
          </w:tcPr>
          <w:p>
            <w:r>
              <w:t>PGX31-PGX33; source-support label withheld</w:t>
            </w:r>
          </w:p>
        </w:tc>
        <w:tc>
          <w:tcPr>
            <w:tcW w:type="dxa" w:w="3360"/>
          </w:tcPr>
          <w:p>
            <w:r>
              <w:t>Missed PGX31; matched PGX32 and PGX33.</w:t>
            </w:r>
          </w:p>
        </w:tc>
      </w:tr>
      <w:tr>
        <w:tc>
          <w:tcPr>
            <w:tcW w:type="dxa" w:w="3360"/>
          </w:tcPr>
          <w:p>
            <w:r>
              <w:t>Arm B Grok-4.5</w:t>
            </w:r>
          </w:p>
        </w:tc>
        <w:tc>
          <w:tcPr>
            <w:tcW w:type="dxa" w:w="3360"/>
          </w:tcPr>
          <w:p>
            <w:r>
              <w:t>PGX31-PGX33; source-support label withheld</w:t>
            </w:r>
          </w:p>
        </w:tc>
        <w:tc>
          <w:tcPr>
            <w:tcW w:type="dxa" w:w="3360"/>
          </w:tcPr>
          <w:p>
            <w:r>
              <w:t>Matched PGX31 and PGX32; PGX33 action differed while primary check matched.</w:t>
            </w:r>
          </w:p>
        </w:tc>
      </w:tr>
      <w:tr>
        <w:tc>
          <w:tcPr>
            <w:tcW w:type="dxa" w:w="3360"/>
          </w:tcPr>
          <w:p>
            <w:r>
              <w:t>Uniform-NARROW sanity row</w:t>
            </w:r>
          </w:p>
        </w:tc>
        <w:tc>
          <w:tcPr>
            <w:tcW w:type="dxa" w:w="3360"/>
          </w:tcPr>
          <w:p>
            <w:r>
              <w:t>Synthetic, no API call</w:t>
            </w:r>
          </w:p>
        </w:tc>
        <w:tc>
          <w:tcPr>
            <w:tcW w:type="dxa" w:w="3360"/>
          </w:tcPr>
          <w:p>
            <w:r>
              <w:t>23/23 overclaims routed; 0/10 bounded alerts preserved; 33/33 narrowed.</w:t>
            </w:r>
          </w:p>
        </w:tc>
      </w:tr>
    </w:tbl>
    <w:p>
      <w:r>
        <w:br w:type="page"/>
      </w:r>
    </w:p>
    <w:p>
      <w:pPr>
        <w:pStyle w:val="Heading1"/>
      </w:pPr>
      <w:r>
        <w:t>Text-Only Extraction</w:t>
      </w:r>
    </w:p>
    <w:tbl>
      <w:tblPr>
        <w:tblStyle w:val="TableGrid"/>
        <w:tblW w:type="auto" w:w="0"/>
        <w:jc w:val="left"/>
        <w:tblLayout w:type="fixed"/>
        <w:tblLook w:firstColumn="1" w:firstRow="1" w:lastColumn="0" w:lastRow="0" w:noHBand="0" w:noVBand="1" w:val="04A0"/>
        <w:tblCellMar>
          <w:top w:w="80" w:type="dxa"/>
          <w:start w:w="120" w:type="dxa"/>
          <w:bottom w:w="80" w:type="dxa"/>
          <w:end w:w="120" w:type="dxa"/>
        </w:tblCellMar>
      </w:tblPr>
      <w:tblGrid>
        <w:gridCol w:w="2520"/>
        <w:gridCol w:w="2520"/>
        <w:gridCol w:w="2520"/>
        <w:gridCol w:w="2520"/>
      </w:tblGrid>
      <w:tr>
        <w:tc>
          <w:tcPr>
            <w:tcW w:type="dxa" w:w="3096"/>
            <w:vAlign w:val="center"/>
            <w:shd w:fill="E8EEF5"/>
          </w:tcPr>
          <w:p>
            <w:r>
              <w:rPr>
                <w:b/>
              </w:rPr>
              <w:t>Provider / condition</w:t>
            </w:r>
          </w:p>
        </w:tc>
        <w:tc>
          <w:tcPr>
            <w:tcW w:type="dxa" w:w="1800"/>
            <w:vAlign w:val="center"/>
            <w:shd w:fill="E8EEF5"/>
          </w:tcPr>
          <w:p>
            <w:r>
              <w:rPr>
                <w:b/>
              </w:rPr>
              <w:t>Field accuracy</w:t>
            </w:r>
          </w:p>
        </w:tc>
        <w:tc>
          <w:tcPr>
            <w:tcW w:type="dxa" w:w="2160"/>
            <w:vAlign w:val="center"/>
            <w:shd w:fill="E8EEF5"/>
          </w:tcPr>
          <w:p>
            <w:r>
              <w:rPr>
                <w:b/>
              </w:rPr>
              <w:t>Downstream action</w:t>
            </w:r>
          </w:p>
        </w:tc>
        <w:tc>
          <w:tcPr>
            <w:tcW w:type="dxa" w:w="3024"/>
            <w:vAlign w:val="center"/>
            <w:shd w:fill="E8EEF5"/>
          </w:tcPr>
          <w:p>
            <w:r>
              <w:rPr>
                <w:b/>
              </w:rPr>
              <w:t>Oracle gap</w:t>
            </w:r>
          </w:p>
        </w:tc>
      </w:tr>
      <w:tr>
        <w:tc>
          <w:tcPr>
            <w:tcW w:type="dxa" w:w="2520"/>
          </w:tcPr>
          <w:p>
            <w:r>
              <w:t>Regime 1: GPT-5.6-terra with citation</w:t>
            </w:r>
          </w:p>
        </w:tc>
        <w:tc>
          <w:tcPr>
            <w:tcW w:type="dxa" w:w="2520"/>
          </w:tcPr>
          <w:p>
            <w:r>
              <w:t>78/132</w:t>
            </w:r>
          </w:p>
        </w:tc>
        <w:tc>
          <w:tcPr>
            <w:tcW w:type="dxa" w:w="2520"/>
          </w:tcPr>
          <w:p>
            <w:r>
              <w:t>21/33</w:t>
            </w:r>
          </w:p>
        </w:tc>
        <w:tc>
          <w:tcPr>
            <w:tcW w:type="dxa" w:w="2520"/>
          </w:tcPr>
          <w:p>
            <w:r>
              <w:t>4/10 bounded preserved; 6/10 bounded losses, all NARROW_CLAIM; inappropriate denials 0.</w:t>
            </w:r>
          </w:p>
        </w:tc>
      </w:tr>
      <w:tr>
        <w:tc>
          <w:tcPr>
            <w:tcW w:type="dxa" w:w="2520"/>
          </w:tcPr>
          <w:p>
            <w:r>
              <w:t>Regime 1: Grok-4.5 with citation</w:t>
            </w:r>
          </w:p>
        </w:tc>
        <w:tc>
          <w:tcPr>
            <w:tcW w:type="dxa" w:w="2520"/>
          </w:tcPr>
          <w:p>
            <w:r>
              <w:t>86/132</w:t>
            </w:r>
          </w:p>
        </w:tc>
        <w:tc>
          <w:tcPr>
            <w:tcW w:type="dxa" w:w="2520"/>
          </w:tcPr>
          <w:p>
            <w:r>
              <w:t>21/33</w:t>
            </w:r>
          </w:p>
        </w:tc>
        <w:tc>
          <w:tcPr>
            <w:tcW w:type="dxa" w:w="2520"/>
          </w:tcPr>
          <w:p>
            <w:r>
              <w:t>9/10 bounded preserved; 1/10 bounded loss, NARROW_CLAIM; inappropriate denials 0.</w:t>
            </w:r>
          </w:p>
        </w:tc>
      </w:tr>
      <w:tr>
        <w:tc>
          <w:tcPr>
            <w:tcW w:type="dxa" w:w="2520"/>
          </w:tcPr>
          <w:p>
            <w:r>
              <w:t>Regime 2: GPT-5.6-terra no citation</w:t>
            </w:r>
          </w:p>
        </w:tc>
        <w:tc>
          <w:tcPr>
            <w:tcW w:type="dxa" w:w="2520"/>
          </w:tcPr>
          <w:p>
            <w:r>
              <w:t>73/132</w:t>
            </w:r>
          </w:p>
        </w:tc>
        <w:tc>
          <w:tcPr>
            <w:tcW w:type="dxa" w:w="2520"/>
          </w:tcPr>
          <w:p>
            <w:r>
              <w:t>11/33</w:t>
            </w:r>
          </w:p>
        </w:tc>
        <w:tc>
          <w:tcPr>
            <w:tcW w:type="dxa" w:w="2520"/>
          </w:tcPr>
          <w:p>
            <w:r>
              <w:t>0/10 bounded preserved; 10/10 bounded losses, all ABSTAIN_SOURCE_SUPPORT; inappropriate denials 10.</w:t>
            </w:r>
          </w:p>
        </w:tc>
      </w:tr>
      <w:tr>
        <w:tc>
          <w:tcPr>
            <w:tcW w:type="dxa" w:w="2520"/>
          </w:tcPr>
          <w:p>
            <w:r>
              <w:t>Regime 2: Grok-4.5 no citation</w:t>
            </w:r>
          </w:p>
        </w:tc>
        <w:tc>
          <w:tcPr>
            <w:tcW w:type="dxa" w:w="2520"/>
          </w:tcPr>
          <w:p>
            <w:r>
              <w:t>70/132</w:t>
            </w:r>
          </w:p>
        </w:tc>
        <w:tc>
          <w:tcPr>
            <w:tcW w:type="dxa" w:w="2520"/>
          </w:tcPr>
          <w:p>
            <w:r>
              <w:t>12/33</w:t>
            </w:r>
          </w:p>
        </w:tc>
        <w:tc>
          <w:tcPr>
            <w:tcW w:type="dxa" w:w="2520"/>
          </w:tcPr>
          <w:p>
            <w:r>
              <w:t>2/10 bounded preserved; 8/10 bounded losses, all ABSTAIN_SOURCE_SUPPORT; inappropriate denials 8.</w:t>
            </w:r>
          </w:p>
        </w:tc>
      </w:tr>
    </w:tbl>
    <w:p>
      <w:r>
        <w:t>This is the main bottleneck result: the deterministic monitor performs as specified under oracle annotations, but LLM extraction from text and citation fields loses annotation accuracy and changes downstream actions. With citation fields, every lost bounded alert was narrowed rather than denied or abstained: 6/6 for GPT-5.6-terra and 1/1 for Grok-4.5. With citations withheld, every lost bounded alert became ABSTAIN_SOURCE_SUPPORT: 10/10 for GPT-5.6-terra and 8/8 for Grok-4.5. Both conditions routed 23/23 overclaims and allowed 0 overclaims unchanged, so bounded-alert preservation is the metric that separates useful review from a degenerate abstention pattern.</w:t>
      </w:r>
    </w:p>
    <w:p>
      <w:pPr>
        <w:pStyle w:val="Heading1"/>
      </w:pPr>
      <w:r>
        <w:t>Directional Error and Field PRF</w:t>
      </w:r>
    </w:p>
    <w:tbl>
      <w:tblPr>
        <w:tblStyle w:val="TableGrid"/>
        <w:tblW w:type="auto" w:w="0"/>
        <w:jc w:val="left"/>
        <w:tblLayout w:type="fixed"/>
        <w:tblLook w:firstColumn="1" w:firstRow="1" w:lastColumn="0" w:lastRow="0" w:noHBand="0" w:noVBand="1" w:val="04A0"/>
        <w:tblCellMar>
          <w:top w:w="80" w:type="dxa"/>
          <w:start w:w="120" w:type="dxa"/>
          <w:bottom w:w="80" w:type="dxa"/>
          <w:end w:w="120" w:type="dxa"/>
        </w:tblCellMar>
      </w:tblPr>
      <w:tblGrid>
        <w:gridCol w:w="5040"/>
        <w:gridCol w:w="5040"/>
      </w:tblGrid>
      <w:tr>
        <w:tc>
          <w:tcPr>
            <w:tcW w:type="dxa" w:w="3672"/>
            <w:vAlign w:val="center"/>
            <w:shd w:fill="E8EEF5"/>
          </w:tcPr>
          <w:p>
            <w:r>
              <w:rPr>
                <w:b/>
              </w:rPr>
              <w:t>Analysis</w:t>
            </w:r>
          </w:p>
        </w:tc>
        <w:tc>
          <w:tcPr>
            <w:tcW w:type="dxa" w:w="6408"/>
            <w:vAlign w:val="center"/>
            <w:shd w:fill="E8EEF5"/>
          </w:tcPr>
          <w:p>
            <w:r>
              <w:rPr>
                <w:b/>
              </w:rPr>
              <w:t>Result</w:t>
            </w:r>
          </w:p>
        </w:tc>
      </w:tr>
      <w:tr>
        <w:tc>
          <w:tcPr>
            <w:tcW w:type="dxa" w:w="5040"/>
          </w:tcPr>
          <w:p>
            <w:r>
              <w:t>Error direction, GPT with citation</w:t>
            </w:r>
          </w:p>
        </w:tc>
        <w:tc>
          <w:tcPr>
            <w:tcW w:type="dxa" w:w="5040"/>
          </w:tcPr>
          <w:p>
            <w:r>
              <w:t>44 conservative errors vs. 10 permissive errors.</w:t>
            </w:r>
          </w:p>
        </w:tc>
      </w:tr>
      <w:tr>
        <w:tc>
          <w:tcPr>
            <w:tcW w:type="dxa" w:w="5040"/>
          </w:tcPr>
          <w:p>
            <w:r>
              <w:t>Error direction, Grok with citation</w:t>
            </w:r>
          </w:p>
        </w:tc>
        <w:tc>
          <w:tcPr>
            <w:tcW w:type="dxa" w:w="5040"/>
          </w:tcPr>
          <w:p>
            <w:r>
              <w:t>41 conservative errors vs. 5 permissive errors.</w:t>
            </w:r>
          </w:p>
        </w:tc>
      </w:tr>
      <w:tr>
        <w:tc>
          <w:tcPr>
            <w:tcW w:type="dxa" w:w="5040"/>
          </w:tcPr>
          <w:p>
            <w:r>
              <w:t>Error direction, GPT no citation</w:t>
            </w:r>
          </w:p>
        </w:tc>
        <w:tc>
          <w:tcPr>
            <w:tcW w:type="dxa" w:w="5040"/>
          </w:tcPr>
          <w:p>
            <w:r>
              <w:t>43 conservative errors vs. 16 permissive errors.</w:t>
            </w:r>
          </w:p>
        </w:tc>
      </w:tr>
      <w:tr>
        <w:tc>
          <w:tcPr>
            <w:tcW w:type="dxa" w:w="5040"/>
          </w:tcPr>
          <w:p>
            <w:r>
              <w:t>Error direction, Grok no citation</w:t>
            </w:r>
          </w:p>
        </w:tc>
        <w:tc>
          <w:tcPr>
            <w:tcW w:type="dxa" w:w="5040"/>
          </w:tcPr>
          <w:p>
            <w:r>
              <w:t>56 conservative errors vs. 6 permissive errors.</w:t>
            </w:r>
          </w:p>
        </w:tc>
      </w:tr>
      <w:tr>
        <w:tc>
          <w:tcPr>
            <w:tcW w:type="dxa" w:w="5040"/>
          </w:tcPr>
          <w:p>
            <w:r>
              <w:t>Endpoint-level exception</w:t>
            </w:r>
          </w:p>
        </w:tc>
        <w:tc>
          <w:tcPr>
            <w:tcW w:type="dxa" w:w="5040"/>
          </w:tcPr>
          <w:p>
            <w:r>
              <w:t>GPT endpoint errors were more permissive than conservative in both conditions; Grok was only mildly conservative.</w:t>
            </w:r>
          </w:p>
        </w:tc>
      </w:tr>
      <w:tr>
        <w:tc>
          <w:tcPr>
            <w:tcW w:type="dxa" w:w="5040"/>
          </w:tcPr>
          <w:p>
            <w:r>
              <w:t>Macro-F1, GPT with citation</w:t>
            </w:r>
          </w:p>
        </w:tc>
        <w:tc>
          <w:tcPr>
            <w:tcW w:type="dxa" w:w="5040"/>
          </w:tcPr>
          <w:p>
            <w:r>
              <w:t>Citation 0.7479; population 0.4369; endpoint 0.7008; actionability 0.3872.</w:t>
            </w:r>
          </w:p>
        </w:tc>
      </w:tr>
      <w:tr>
        <w:tc>
          <w:tcPr>
            <w:tcW w:type="dxa" w:w="5040"/>
          </w:tcPr>
          <w:p>
            <w:r>
              <w:t>Macro-F1, Grok with citation</w:t>
            </w:r>
          </w:p>
        </w:tc>
        <w:tc>
          <w:tcPr>
            <w:tcW w:type="dxa" w:w="5040"/>
          </w:tcPr>
          <w:p>
            <w:r>
              <w:t>Citation 0.6516; population 0.5974; endpoint 0.6590; actionability 0.4982.</w:t>
            </w:r>
          </w:p>
        </w:tc>
      </w:tr>
    </w:tbl>
    <w:p>
      <w:r>
        <w:t>Full macro-precision, macro-recall, and macro-F1 for every field, model, and condition are written to results/text_only_extraction_field_prf.csv. Several enum cells contain one or two observations, so macro-F1 is indicative rather than precise. Endpoint-level errors should be read separately from the source, population, and actionability fields because endpoint classification requires judging what class of scientific evidence supports the alert.</w:t>
      </w:r>
    </w:p>
    <w:p>
      <w:pPr>
        <w:pStyle w:val="Heading1"/>
      </w:pPr>
      <w:r>
        <w:t>Held-Out Worksheet</w:t>
      </w:r>
    </w:p>
    <w:p>
      <w:r>
        <w:t>GPT-5.6-sol generated 12 draft scenarios for a future held-out worksheet. They remain unlabeled in this package. The CSV worksheet has blank label columns, and no held-out accuracy, independence claim, or generalization result is reported.</w:t>
      </w:r>
    </w:p>
    <w:p>
      <w:pPr>
        <w:pStyle w:val="Heading1"/>
      </w:pPr>
      <w:r>
        <w:t>Traceability</w:t>
      </w:r>
    </w:p>
    <w:p>
      <w:r>
        <w:t>Every number in the paper is mapped to a generated file in results/paper_number_trace.csv. Raw model payloads are retained under results/*raw.json. Regression tests assert that author-only annotation_note fields are not sent in any model payload.</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Calibri" w:hAnsi="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8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