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
              <w:rPr>
                <w:rFonts w:ascii="Calibri" w:hAnsi="Calibri"/>
                <w:b/>
                <w:color w:val="000000"/>
                <w:sz w:val="19"/>
              </w:rPr>
              <w:t>Field</w:t>
            </w:r>
          </w:p>
        </w:tc>
        <w:tc>
          <w:tcPr>
            <w:tcW w:type="dxa" w:w="6760"/>
            <w:vAlign w:val="center"/>
            <w:shd w:fill="F4F6F9"/>
          </w:tcPr>
          <w:p>
            <w:pPr>
              <w:spacing w:after="0"/>
            </w:pPr>
            <w:r/>
            <w:r>
              <w:rPr>
                <w:rFonts w:ascii="Calibri" w:hAnsi="Calibri"/>
                <w:b/>
                <w:color w:val="000000"/>
                <w:sz w:val="19"/>
              </w:rPr>
              <w:t>Value</w:t>
            </w:r>
          </w:p>
        </w:tc>
      </w:tr>
      <w:tr>
        <w:tc>
          <w:tcPr>
            <w:tcW w:type="dxa" w:w="2600"/>
            <w:vAlign w:val="center"/>
          </w:tcPr>
          <w:p>
            <w:pPr>
              <w:spacing w:after="0"/>
            </w:pPr>
            <w:r/>
            <w:r>
              <w:rPr>
                <w:rFonts w:ascii="Calibri" w:hAnsi="Calibri"/>
                <w:b w:val="0"/>
                <w:color w:val="000000"/>
                <w:sz w:val="19"/>
              </w:rPr>
              <w:t>Name</w:t>
            </w:r>
          </w:p>
        </w:tc>
        <w:tc>
          <w:tcPr>
            <w:tcW w:type="dxa" w:w="6760"/>
            <w:vAlign w:val="center"/>
          </w:tcPr>
          <w:p>
            <w:pPr>
              <w:spacing w:after="0"/>
            </w:pPr>
            <w:r/>
            <w:r>
              <w:rPr>
                <w:rFonts w:ascii="Calibri" w:hAnsi="Calibri"/>
                <w:b w:val="0"/>
                <w:color w:val="000000"/>
                <w:sz w:val="19"/>
              </w:rPr>
              <w:t>Machine Learning for Health Symposium (ML4H 2026)</w:t>
            </w:r>
          </w:p>
        </w:tc>
      </w:tr>
      <w:tr>
        <w:tc>
          <w:tcPr>
            <w:tcW w:type="dxa" w:w="2600"/>
            <w:vAlign w:val="center"/>
          </w:tcPr>
          <w:p>
            <w:pPr>
              <w:spacing w:after="0"/>
            </w:pPr>
            <w:r/>
            <w:r>
              <w:rPr>
                <w:rFonts w:ascii="Calibri" w:hAnsi="Calibri"/>
                <w:b w:val="0"/>
                <w:color w:val="000000"/>
                <w:sz w:val="19"/>
              </w:rPr>
              <w:t>URL</w:t>
            </w:r>
          </w:p>
        </w:tc>
        <w:tc>
          <w:tcPr>
            <w:tcW w:type="dxa" w:w="6760"/>
            <w:vAlign w:val="center"/>
          </w:tcPr>
          <w:p>
            <w:pPr>
              <w:spacing w:after="0"/>
            </w:pPr>
            <w:r/>
            <w:r>
              <w:rPr>
                <w:rFonts w:ascii="Calibri" w:hAnsi="Calibri"/>
                <w:b w:val="0"/>
                <w:color w:val="000000"/>
                <w:sz w:val="19"/>
              </w:rPr>
              <w:t>https://ml4h.ahli.cc/</w:t>
            </w:r>
          </w:p>
        </w:tc>
      </w:tr>
      <w:tr>
        <w:tc>
          <w:tcPr>
            <w:tcW w:type="dxa" w:w="2600"/>
            <w:vAlign w:val="center"/>
          </w:tcPr>
          <w:p>
            <w:pPr>
              <w:spacing w:after="0"/>
            </w:pPr>
            <w:r/>
            <w:r>
              <w:rPr>
                <w:rFonts w:ascii="Calibri" w:hAnsi="Calibri"/>
                <w:b w:val="0"/>
                <w:color w:val="000000"/>
                <w:sz w:val="19"/>
              </w:rPr>
              <w:t>Author instructions / CFP</w:t>
            </w:r>
          </w:p>
        </w:tc>
        <w:tc>
          <w:tcPr>
            <w:tcW w:type="dxa" w:w="6760"/>
            <w:vAlign w:val="center"/>
          </w:tcPr>
          <w:p>
            <w:pPr>
              <w:spacing w:after="0"/>
            </w:pPr>
            <w:r/>
            <w:r>
              <w:rPr>
                <w:rFonts w:ascii="Calibri" w:hAnsi="Calibri"/>
                <w:b w:val="0"/>
                <w:color w:val="000000"/>
                <w:sz w:val="19"/>
              </w:rPr>
              <w:t>https://ml4h.ahli.cc/submit/call-for-papers/</w:t>
            </w:r>
          </w:p>
        </w:tc>
      </w:tr>
      <w:tr>
        <w:tc>
          <w:tcPr>
            <w:tcW w:type="dxa" w:w="2600"/>
            <w:vAlign w:val="center"/>
          </w:tcPr>
          <w:p>
            <w:pPr>
              <w:spacing w:after="0"/>
            </w:pPr>
            <w:r/>
            <w:r>
              <w:rPr>
                <w:rFonts w:ascii="Calibri" w:hAnsi="Calibri"/>
                <w:b w:val="0"/>
                <w:color w:val="000000"/>
                <w:sz w:val="19"/>
              </w:rPr>
              <w:t>Submission deadline</w:t>
            </w:r>
          </w:p>
        </w:tc>
        <w:tc>
          <w:tcPr>
            <w:tcW w:type="dxa" w:w="6760"/>
            <w:vAlign w:val="center"/>
          </w:tcPr>
          <w:p>
            <w:pPr>
              <w:spacing w:after="0"/>
            </w:pPr>
            <w:r/>
            <w:r>
              <w:rPr>
                <w:rFonts w:ascii="Calibri" w:hAnsi="Calibri"/>
                <w:b w:val="0"/>
                <w:color w:val="000000"/>
                <w:sz w:val="19"/>
              </w:rPr>
              <w:t>September 10, 2026, 11:59 PM AoE</w:t>
            </w:r>
          </w:p>
        </w:tc>
      </w:tr>
      <w:tr>
        <w:tc>
          <w:tcPr>
            <w:tcW w:type="dxa" w:w="2600"/>
            <w:vAlign w:val="center"/>
          </w:tcPr>
          <w:p>
            <w:pPr>
              <w:spacing w:after="0"/>
            </w:pPr>
            <w:r/>
            <w:r>
              <w:rPr>
                <w:rFonts w:ascii="Calibri" w:hAnsi="Calibri"/>
                <w:b w:val="0"/>
                <w:color w:val="000000"/>
                <w:sz w:val="19"/>
              </w:rPr>
              <w:t>Author notification</w:t>
            </w:r>
          </w:p>
        </w:tc>
        <w:tc>
          <w:tcPr>
            <w:tcW w:type="dxa" w:w="6760"/>
            <w:vAlign w:val="center"/>
          </w:tcPr>
          <w:p>
            <w:pPr>
              <w:spacing w:after="0"/>
            </w:pPr>
            <w:r/>
            <w:r>
              <w:rPr>
                <w:rFonts w:ascii="Calibri" w:hAnsi="Calibri"/>
                <w:b w:val="0"/>
                <w:color w:val="000000"/>
                <w:sz w:val="19"/>
              </w:rPr>
              <w:t>October 22, 2026</w:t>
            </w:r>
          </w:p>
        </w:tc>
      </w:tr>
      <w:tr>
        <w:tc>
          <w:tcPr>
            <w:tcW w:type="dxa" w:w="2600"/>
            <w:vAlign w:val="center"/>
          </w:tcPr>
          <w:p>
            <w:pPr>
              <w:spacing w:after="0"/>
            </w:pPr>
            <w:r/>
            <w:r>
              <w:rPr>
                <w:rFonts w:ascii="Calibri" w:hAnsi="Calibri"/>
                <w:b w:val="0"/>
                <w:color w:val="000000"/>
                <w:sz w:val="19"/>
              </w:rPr>
              <w:t>Camera-ready deadline</w:t>
            </w:r>
          </w:p>
        </w:tc>
        <w:tc>
          <w:tcPr>
            <w:tcW w:type="dxa" w:w="6760"/>
            <w:vAlign w:val="center"/>
          </w:tcPr>
          <w:p>
            <w:pPr>
              <w:spacing w:after="0"/>
            </w:pPr>
            <w:r/>
            <w:r>
              <w:rPr>
                <w:rFonts w:ascii="Calibri" w:hAnsi="Calibri"/>
                <w:b w:val="0"/>
                <w:color w:val="000000"/>
                <w:sz w:val="19"/>
              </w:rPr>
              <w:t>November 7, 2026 (tentative)</w:t>
            </w:r>
          </w:p>
        </w:tc>
      </w:tr>
      <w:tr>
        <w:tc>
          <w:tcPr>
            <w:tcW w:type="dxa" w:w="2600"/>
            <w:vAlign w:val="center"/>
          </w:tcPr>
          <w:p>
            <w:pPr>
              <w:spacing w:after="0"/>
            </w:pPr>
            <w:r/>
            <w:r>
              <w:rPr>
                <w:rFonts w:ascii="Calibri" w:hAnsi="Calibri"/>
                <w:b w:val="0"/>
                <w:color w:val="000000"/>
                <w:sz w:val="19"/>
              </w:rPr>
              <w:t>Event dates</w:t>
            </w:r>
          </w:p>
        </w:tc>
        <w:tc>
          <w:tcPr>
            <w:tcW w:type="dxa" w:w="6760"/>
            <w:vAlign w:val="center"/>
          </w:tcPr>
          <w:p>
            <w:pPr>
              <w:spacing w:after="0"/>
            </w:pPr>
            <w:r/>
            <w:r>
              <w:rPr>
                <w:rFonts w:ascii="Calibri" w:hAnsi="Calibri"/>
                <w:b w:val="0"/>
                <w:color w:val="000000"/>
                <w:sz w:val="19"/>
              </w:rPr>
              <w:t>December 6-7, 2026</w:t>
            </w:r>
          </w:p>
        </w:tc>
      </w:tr>
      <w:tr>
        <w:tc>
          <w:tcPr>
            <w:tcW w:type="dxa" w:w="2600"/>
            <w:vAlign w:val="center"/>
          </w:tcPr>
          <w:p>
            <w:pPr>
              <w:spacing w:after="0"/>
            </w:pPr>
            <w:r/>
            <w:r>
              <w:rPr>
                <w:rFonts w:ascii="Calibri" w:hAnsi="Calibri"/>
                <w:b w:val="0"/>
                <w:color w:val="000000"/>
                <w:sz w:val="19"/>
              </w:rPr>
              <w:t>Location</w:t>
            </w:r>
          </w:p>
        </w:tc>
        <w:tc>
          <w:tcPr>
            <w:tcW w:type="dxa" w:w="6760"/>
            <w:vAlign w:val="center"/>
          </w:tcPr>
          <w:p>
            <w:pPr>
              <w:spacing w:after="0"/>
            </w:pPr>
            <w:r/>
            <w:r>
              <w:rPr>
                <w:rFonts w:ascii="Calibri" w:hAnsi="Calibri"/>
                <w:b w:val="0"/>
                <w:color w:val="000000"/>
                <w:sz w:val="19"/>
              </w:rPr>
              <w:t>Sydney, Australia</w:t>
            </w:r>
          </w:p>
        </w:tc>
      </w:tr>
      <w:tr>
        <w:tc>
          <w:tcPr>
            <w:tcW w:type="dxa" w:w="2600"/>
            <w:vAlign w:val="center"/>
          </w:tcPr>
          <w:p>
            <w:pPr>
              <w:spacing w:after="0"/>
            </w:pPr>
            <w:r/>
            <w:r>
              <w:rPr>
                <w:rFonts w:ascii="Calibri" w:hAnsi="Calibri"/>
                <w:b w:val="0"/>
                <w:color w:val="000000"/>
                <w:sz w:val="19"/>
              </w:rPr>
              <w:t>Suggested track</w:t>
            </w:r>
          </w:p>
        </w:tc>
        <w:tc>
          <w:tcPr>
            <w:tcW w:type="dxa" w:w="6760"/>
            <w:vAlign w:val="center"/>
          </w:tcPr>
          <w:p>
            <w:r>
              <w:t>Findings Track for preliminary specification-conformance work; Proceedings Track only after independent review.</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rPr>
          <w:rFonts w:ascii="Calibri" w:hAnsi="Calibri"/>
        </w:rPr>
        <w:t>Abstract: This capstone studies a narrowed clinical AI safety problem: LLM-drafted pharmacogenomic and genomic medication alerts can overstate what guideline-supported evidence actually permits. I implement a synthetic pre-display evidence gate with three checks: citation/guideline support, population fit, and endpoint/actionability. Stage 1 does not call an LLM or extract evidence features from free text; it tests a deterministic controller over structured evidence annotations. In 30 author-designed synthetic cases, the controller blocked or narrowed all 20 designed overclaim archetypes, allowed all 10 bounded alerts, and produced no inappropriate denials. Action conformance was 30/30 and primary-gate conformance was 28/30, with PGX19 and PGX24 revealing citation-first precedence effects. These counts show specification conformance, not clinical utility, independent safety, or generalization.</w:t>
      </w:r>
    </w:p>
    <w:p>
      <w:pPr>
        <w:pStyle w:val="Heading1"/>
      </w:pPr>
      <w:r>
        <w:t>Generative AI Use</w:t>
      </w:r>
    </w:p>
    <w:p>
      <w:r>
        <w:rPr>
          <w:rFonts w:ascii="Calibri" w:hAnsi="Calibri"/>
        </w:rPr>
        <w:t>Generative AI tools were used for brainstorming, critique, code scaffolding, drafting, packaging, and formatting.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spacing w:after="60"/>
      </w:pPr>
      <w:r>
        <w:rPr>
          <w:rFonts w:ascii="Calibri" w:hAnsi="Calibri"/>
        </w:rPr>
        <w:t>Synthetic 30-case pharmacogenomic/genomic medication-alert case bank.</w:t>
      </w:r>
    </w:p>
    <w:p>
      <w:pPr>
        <w:pStyle w:val="ListBullet"/>
        <w:spacing w:after="60"/>
      </w:pPr>
      <w:r>
        <w:rPr>
          <w:rFonts w:ascii="Calibri" w:hAnsi="Calibri"/>
        </w:rPr>
        <w:t>Executable three-gate controller and tests.</w:t>
      </w:r>
    </w:p>
    <w:p>
      <w:pPr>
        <w:pStyle w:val="ListBullet"/>
        <w:spacing w:after="60"/>
      </w:pPr>
      <w:r>
        <w:rPr>
          <w:rFonts w:ascii="Calibri" w:hAnsi="Calibri"/>
        </w:rPr>
        <w:t>CSV/JSON results for overclaim detection, inappropriate denial, calibration, and gate/error categories.</w:t>
      </w:r>
    </w:p>
    <w:p>
      <w:pPr>
        <w:pStyle w:val="ListBullet"/>
        <w:spacing w:after="60"/>
      </w:pPr>
      <w:r>
        <w:rPr>
          <w:rFonts w:ascii="Calibri" w:hAnsi="Calibri"/>
        </w:rPr>
        <w:t>No real patient data, no protected health information, no diagnosis, and no treatment recommendation.</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