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code\pruned_evidence_gate.py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PGX01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PGX02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PGX03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PGX04</w:t>
            </w:r>
          </w:p>
        </w:tc>
        <w:tc>
          <w:tcPr>
            <w:tcW w:type="dxa" w:w="1900"/>
            <w:vAlign w:val="center"/>
          </w:tcPr>
          <w:p>
            <w:r>
              <w:t>DPYD-fluoropyrimidines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PGX05</w:t>
            </w:r>
          </w:p>
        </w:tc>
        <w:tc>
          <w:tcPr>
            <w:tcW w:type="dxa" w:w="1900"/>
            <w:vAlign w:val="center"/>
          </w:tcPr>
          <w:p>
            <w:r>
              <w:t>DPYD-fluoropyrimidines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PGX06</w:t>
            </w:r>
          </w:p>
        </w:tc>
        <w:tc>
          <w:tcPr>
            <w:tcW w:type="dxa" w:w="1900"/>
            <w:vAlign w:val="center"/>
          </w:tcPr>
          <w:p>
            <w:r>
              <w:t>TPMT/NUDT15-thiopurines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PGX07</w:t>
            </w:r>
          </w:p>
        </w:tc>
        <w:tc>
          <w:tcPr>
            <w:tcW w:type="dxa" w:w="1900"/>
            <w:vAlign w:val="center"/>
          </w:tcPr>
          <w:p>
            <w:r>
              <w:t>TPMT/NUDT15-thiopurines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PGX08</w:t>
            </w:r>
          </w:p>
        </w:tc>
        <w:tc>
          <w:tcPr>
            <w:tcW w:type="dxa" w:w="1900"/>
            <w:vAlign w:val="center"/>
          </w:tcPr>
          <w:p>
            <w:r>
              <w:t>HLA-B*57:01-abacavir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PGX09</w:t>
            </w:r>
          </w:p>
        </w:tc>
        <w:tc>
          <w:tcPr>
            <w:tcW w:type="dxa" w:w="1900"/>
            <w:vAlign w:val="center"/>
          </w:tcPr>
          <w:p>
            <w:r>
              <w:t>HLA-B*15:02-carbamazepine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PGX10</w:t>
            </w:r>
          </w:p>
        </w:tc>
        <w:tc>
          <w:tcPr>
            <w:tcW w:type="dxa" w:w="1900"/>
            <w:vAlign w:val="center"/>
          </w:tcPr>
          <w:p>
            <w:r>
              <w:t>HLA-B*15:02-carbamazepine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PGX11</w:t>
            </w:r>
          </w:p>
        </w:tc>
        <w:tc>
          <w:tcPr>
            <w:tcW w:type="dxa" w:w="1900"/>
            <w:vAlign w:val="center"/>
          </w:tcPr>
          <w:p>
            <w:r>
              <w:t>CYP2D6-codeine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PGX12</w:t>
            </w:r>
          </w:p>
        </w:tc>
        <w:tc>
          <w:tcPr>
            <w:tcW w:type="dxa" w:w="1900"/>
            <w:vAlign w:val="center"/>
          </w:tcPr>
          <w:p>
            <w:r>
              <w:t>CYP2D6-opioids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PGX13</w:t>
            </w:r>
          </w:p>
        </w:tc>
        <w:tc>
          <w:tcPr>
            <w:tcW w:type="dxa" w:w="1900"/>
            <w:vAlign w:val="center"/>
          </w:tcPr>
          <w:p>
            <w:r>
              <w:t>CYP2D6-tramadol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PGX14</w:t>
            </w:r>
          </w:p>
        </w:tc>
        <w:tc>
          <w:tcPr>
            <w:tcW w:type="dxa" w:w="1900"/>
            <w:vAlign w:val="center"/>
          </w:tcPr>
          <w:p>
            <w:r>
              <w:t>SLCO1B1-simvastatin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PGX15</w:t>
            </w:r>
          </w:p>
        </w:tc>
        <w:tc>
          <w:tcPr>
            <w:tcW w:type="dxa" w:w="1900"/>
            <w:vAlign w:val="center"/>
          </w:tcPr>
          <w:p>
            <w:r>
              <w:t>CYP2C9/VKORC1-warfarin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PGX16</w:t>
            </w:r>
          </w:p>
        </w:tc>
        <w:tc>
          <w:tcPr>
            <w:tcW w:type="dxa" w:w="1900"/>
            <w:vAlign w:val="center"/>
          </w:tcPr>
          <w:p>
            <w:r>
              <w:t>UGT1A1-irinotecan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PGX17</w:t>
            </w:r>
          </w:p>
        </w:tc>
        <w:tc>
          <w:tcPr>
            <w:tcW w:type="dxa" w:w="1900"/>
            <w:vAlign w:val="center"/>
          </w:tcPr>
          <w:p>
            <w:r>
              <w:t>MTHFR-folate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PGX18</w:t>
            </w:r>
          </w:p>
        </w:tc>
        <w:tc>
          <w:tcPr>
            <w:tcW w:type="dxa" w:w="1900"/>
            <w:vAlign w:val="center"/>
          </w:tcPr>
          <w:p>
            <w:r>
              <w:t>COMT-psychiatric medication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PGX19</w:t>
            </w:r>
          </w:p>
        </w:tc>
        <w:tc>
          <w:tcPr>
            <w:tcW w:type="dxa" w:w="1900"/>
            <w:vAlign w:val="center"/>
          </w:tcPr>
          <w:p>
            <w:r>
              <w:t>APOE-dementia risk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PGX20</w:t>
            </w:r>
          </w:p>
        </w:tc>
        <w:tc>
          <w:tcPr>
            <w:tcW w:type="dxa" w:w="1900"/>
            <w:vAlign w:val="center"/>
          </w:tcPr>
          <w:p>
            <w:r>
              <w:t>RYR1/CACNA1S-anesthesia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PGX21</w:t>
            </w:r>
          </w:p>
        </w:tc>
        <w:tc>
          <w:tcPr>
            <w:tcW w:type="dxa" w:w="1900"/>
            <w:vAlign w:val="center"/>
          </w:tcPr>
          <w:p>
            <w:r>
              <w:t>G6PD-oxidant drugs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PGX22</w:t>
            </w:r>
          </w:p>
        </w:tc>
        <w:tc>
          <w:tcPr>
            <w:tcW w:type="dxa" w:w="1900"/>
            <w:vAlign w:val="center"/>
          </w:tcPr>
          <w:p>
            <w:r>
              <w:t>IFNL3-hepatitis C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PGX23</w:t>
            </w:r>
          </w:p>
        </w:tc>
        <w:tc>
          <w:tcPr>
            <w:tcW w:type="dxa" w:w="1900"/>
            <w:vAlign w:val="center"/>
          </w:tcPr>
          <w:p>
            <w:r>
              <w:t>ACE-fitness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PGX24</w:t>
            </w:r>
          </w:p>
        </w:tc>
        <w:tc>
          <w:tcPr>
            <w:tcW w:type="dxa" w:w="1900"/>
            <w:vAlign w:val="center"/>
          </w:tcPr>
          <w:p>
            <w:r>
              <w:t>Polygenic addiction liability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PGX25</w:t>
            </w:r>
          </w:p>
        </w:tc>
        <w:tc>
          <w:tcPr>
            <w:tcW w:type="dxa" w:w="1900"/>
            <w:vAlign w:val="center"/>
          </w:tcPr>
          <w:p>
            <w:r>
              <w:t>Genome India population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PGX26</w:t>
            </w:r>
          </w:p>
        </w:tc>
        <w:tc>
          <w:tcPr>
            <w:tcW w:type="dxa" w:w="1900"/>
            <w:vAlign w:val="center"/>
          </w:tcPr>
          <w:p>
            <w:r>
              <w:t>Israel founder-variant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PGX27</w:t>
            </w:r>
          </w:p>
        </w:tc>
        <w:tc>
          <w:tcPr>
            <w:tcW w:type="dxa" w:w="1900"/>
            <w:vAlign w:val="center"/>
          </w:tcPr>
          <w:p>
            <w:r>
              <w:t>All of Us / TOPMed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PGX28</w:t>
            </w:r>
          </w:p>
        </w:tc>
        <w:tc>
          <w:tcPr>
            <w:tcW w:type="dxa" w:w="1900"/>
            <w:vAlign w:val="center"/>
          </w:tcPr>
          <w:p>
            <w:r>
              <w:t>ClinVar VUS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PGX29</w:t>
            </w:r>
          </w:p>
        </w:tc>
        <w:tc>
          <w:tcPr>
            <w:tcW w:type="dxa" w:w="1900"/>
            <w:vAlign w:val="center"/>
          </w:tcPr>
          <w:p>
            <w:r>
              <w:t>ClinVar conflicting submissions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PGX30</w:t>
            </w:r>
          </w:p>
        </w:tc>
        <w:tc>
          <w:tcPr>
            <w:tcW w:type="dxa" w:w="1900"/>
            <w:vAlign w:val="center"/>
          </w:tcPr>
          <w:p>
            <w:r>
              <w:t>Fabricated guideline citation</w:t>
            </w:r>
          </w:p>
        </w:tc>
        <w:tc>
          <w:tcPr>
            <w:tcW w:type="dxa" w:w="2600"/>
            <w:vAlign w:val="center"/>
          </w:tcPr>
          <w:p>
            <w:r>
              <w:t>deny citation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30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20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0/20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blocked</w:t>
            </w:r>
          </w:p>
        </w:tc>
        <w:tc>
          <w:tcPr>
            <w:tcW w:type="dxa" w:w="5860"/>
            <w:vAlign w:val="center"/>
          </w:tcPr>
          <w:p>
            <w:r>
              <w:t>20/20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Primary-gate conformance rate</w:t>
            </w:r>
          </w:p>
        </w:tc>
        <w:tc>
          <w:tcPr>
            <w:tcW w:type="dxa" w:w="5860"/>
          </w:tcPr>
          <w:p>
            <w:r>
              <w:t>0.933</w:t>
            </w:r>
          </w:p>
        </w:tc>
      </w:tr>
      <w:tr>
        <w:tc>
          <w:tcPr>
            <w:tcW w:type="dxa" w:w="3500"/>
          </w:tcPr>
          <w:p>
            <w:r>
              <w:t>Gate-precedence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