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C:\Users\anaxe\.cache\codex-runtimes\codex-primary-runtime\dependencies\python\python.exe work\pruned_evidence_gate\pruned_evidence_gate.py</w:t>
      </w:r>
    </w:p>
    <w:p>
      <w:r>
        <w:rPr>
          <w:rFonts w:ascii="Calibri" w:hAnsi="Calibri"/>
        </w:rPr>
        <w:t>C:\Users\anaxe\.cache\codex-runtimes\codex-primary-runtime\dependencies\python\python.exe -m pytest work\pruned_evidence_gate -q</w:t>
      </w:r>
    </w:p>
    <w:p>
      <w:pPr>
        <w:pStyle w:val="Heading1"/>
      </w:pPr>
      <w:r>
        <w:t>Case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DPYD-fluoropyrimidines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DPYD-fluoropyrimidines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TPMT/NUDT15-thiopurines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TPMT/NUDT15-thiopurines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HLA-B*57:01-abacavir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HLA-B*15:02-carbamazepine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HLA-B*15:02-carbamazepine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CYP2D6-codeine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CYP2D6-opioids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CYP2D6-tramadol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SLCO1B1-simvastatin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CYP2C9/VKORC1-warfarin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UGT1A1-irinotecan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MTHFR-folate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COMT-psychiatric medication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APOE-dementia risk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RYR1/CACNA1S-anesthesia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G6PD-oxidant drugs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IFNL3-hepatitis C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ACE-fitness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Polygenic addiction liability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Genome India population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Israel founder-variant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of Us / TOPMed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ClinVar VUS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ClinVar conflicting submissions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PGX30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Fabricated guideline citation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citation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count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30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20</w:t>
            </w:r>
          </w:p>
        </w:tc>
      </w:tr>
      <w:tr>
        <w:tc>
          <w:tcPr>
            <w:tcW w:type="dxa" w:w="3500"/>
            <w:vAlign w:val="center"/>
          </w:tcPr>
          <w:p>
            <w:r>
              <w:t>Gated remaining overclaim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blocked</w:t>
            </w:r>
          </w:p>
        </w:tc>
        <w:tc>
          <w:tcPr>
            <w:tcW w:type="dxa" w:w="5860"/>
            <w:vAlign w:val="center"/>
          </w:tcPr>
          <w:p>
            <w:r>
              <w:t>20/20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Specification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