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t>Executable evidence-gate specification for pharmacogenomic LLM-alert review</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Pr>
                <w:rFonts w:ascii="Aptos" w:hAnsi="Aptos" w:eastAsia="Aptos"/>
                <w:sz w:val="16"/>
              </w:rPr>
            </w:r>
            <w:r>
              <w:rPr>
                <w:rFonts w:ascii="Aptos" w:hAnsi="Aptos" w:eastAsia="Aptos"/>
                <w:b/>
                <w:color w:val="000000"/>
                <w:sz w:val="16"/>
              </w:rPr>
              <w:t>Field</w:t>
            </w:r>
          </w:p>
        </w:tc>
        <w:tc>
          <w:tcPr>
            <w:tcW w:type="dxa" w:w="6760"/>
            <w:vAlign w:val="center"/>
            <w:shd w:fill="F4F6F9"/>
          </w:tcPr>
          <w:p>
            <w:pPr>
              <w:spacing w:after="0"/>
            </w:pPr>
            <w:r>
              <w:rPr>
                <w:rFonts w:ascii="Aptos" w:hAnsi="Aptos" w:eastAsia="Aptos"/>
                <w:sz w:val="16"/>
              </w:rPr>
            </w:r>
            <w:r>
              <w:rPr>
                <w:rFonts w:ascii="Aptos" w:hAnsi="Aptos" w:eastAsia="Aptos"/>
                <w:b/>
                <w:color w:val="000000"/>
                <w:sz w:val="16"/>
              </w:rPr>
              <w:t>Value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Name</w:t>
            </w:r>
          </w:p>
        </w:tc>
        <w:tc>
          <w:tcPr>
            <w:tcW w:type="dxa" w:w="6760"/>
            <w:vAlign w:val="center"/>
          </w:tcPr>
          <w:p>
            <w:pPr>
              <w:spacing w:after="0"/>
            </w:pPr>
            <w:r>
              <w:rPr>
                <w:rFonts w:ascii="Aptos" w:hAnsi="Aptos" w:eastAsia="Aptos"/>
                <w:sz w:val="16"/>
              </w:rPr>
            </w:r>
            <w:r>
              <w:rPr>
                <w:rFonts w:ascii="Aptos" w:hAnsi="Aptos" w:eastAsia="Aptos"/>
                <w:b w:val="0"/>
                <w:color w:val="000000"/>
                <w:sz w:val="16"/>
              </w:rPr>
              <w:t>Machine Learning for Health Symposium (ML4H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URL</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instructions / CFP</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https://ml4h.ahli.cc/submit/call-for-papers/</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Submission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September 10, 2026, 11:59 PM AoE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notification</w:t>
            </w:r>
          </w:p>
        </w:tc>
        <w:tc>
          <w:tcPr>
            <w:tcW w:type="dxa" w:w="6760"/>
            <w:vAlign w:val="center"/>
          </w:tcPr>
          <w:p>
            <w:pPr>
              <w:spacing w:after="0"/>
            </w:pPr>
            <w:r>
              <w:rPr>
                <w:rFonts w:ascii="Aptos" w:hAnsi="Aptos" w:eastAsia="Aptos"/>
                <w:sz w:val="16"/>
              </w:rPr>
            </w:r>
            <w:r>
              <w:rPr>
                <w:rFonts w:ascii="Aptos" w:hAnsi="Aptos" w:eastAsia="Aptos"/>
                <w:b w:val="0"/>
                <w:color w:val="000000"/>
                <w:sz w:val="16"/>
              </w:rPr>
              <w:t>October 22,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Camera-ready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November 7, 2026 (tentative)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Event dates</w:t>
            </w:r>
          </w:p>
        </w:tc>
        <w:tc>
          <w:tcPr>
            <w:tcW w:type="dxa" w:w="6760"/>
            <w:vAlign w:val="center"/>
          </w:tcPr>
          <w:p>
            <w:pPr>
              <w:spacing w:after="0"/>
            </w:pPr>
            <w:r>
              <w:rPr>
                <w:rFonts w:ascii="Aptos" w:hAnsi="Aptos" w:eastAsia="Aptos"/>
                <w:sz w:val="16"/>
              </w:rPr>
            </w:r>
            <w:r>
              <w:rPr>
                <w:rFonts w:ascii="Aptos" w:hAnsi="Aptos" w:eastAsia="Aptos"/>
                <w:b w:val="0"/>
                <w:color w:val="000000"/>
                <w:sz w:val="16"/>
              </w:rPr>
              <w:t>December 6-7,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Location</w:t>
            </w:r>
          </w:p>
        </w:tc>
        <w:tc>
          <w:tcPr>
            <w:tcW w:type="dxa" w:w="6760"/>
            <w:vAlign w:val="center"/>
          </w:tcPr>
          <w:p>
            <w:pPr>
              <w:spacing w:after="0"/>
            </w:pPr>
            <w:r>
              <w:rPr>
                <w:rFonts w:ascii="Aptos" w:hAnsi="Aptos" w:eastAsia="Aptos"/>
                <w:sz w:val="16"/>
              </w:rPr>
            </w:r>
            <w:r>
              <w:rPr>
                <w:rFonts w:ascii="Aptos" w:hAnsi="Aptos" w:eastAsia="Aptos"/>
                <w:b w:val="0"/>
                <w:color w:val="000000"/>
                <w:sz w:val="16"/>
              </w:rPr>
              <w:t>Sydney, Australia</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Suggested track</w:t>
            </w:r>
          </w:p>
        </w:tc>
        <w:tc>
          <w:tcPr>
            <w:tcW w:type="dxa" w:w="6760"/>
            <w:vAlign w:val="center"/>
          </w:tcPr>
          <w:p>
            <w:r>
              <w:rPr>
                <w:rFonts w:ascii="Aptos" w:hAnsi="Aptos" w:eastAsia="Aptos"/>
                <w:sz w:val="16"/>
              </w:rPr>
              <w:t>Findings Track for preliminary specification-conformance work; Proceedings Track only after independent review.</w:t>
            </w:r>
          </w:p>
        </w:tc>
      </w:tr>
      <w:tr>
        <w:tc>
          <w:tcPr>
            <w:tcW w:type="dxa" w:w="2600"/>
          </w:tcPr>
          <w:p>
            <w:r>
              <w:rPr>
                <w:rFonts w:ascii="Aptos" w:hAnsi="Aptos" w:eastAsia="Aptos"/>
                <w:sz w:val="16"/>
              </w:rPr>
              <w:t>Editable paper format</w:t>
            </w:r>
          </w:p>
        </w:tc>
        <w:tc>
          <w:tcPr>
            <w:tcW w:type="dxa" w:w="6760"/>
          </w:tcPr>
          <w:p>
            <w:r>
              <w:rPr>
                <w:rFonts w:ascii="Aptos" w:hAnsi="Aptos" w:eastAsia="Aptos"/>
                <w:sz w:val="16"/>
              </w:rPr>
              <w:t>LaTeX/Overleaf source: paper/ml4h_findings_evidence_gate.tex with paper/ml4h_findings_refs.bib; compiled PDF: paper/ml4h_findings_evidence_gate.pdf.</w:t>
            </w:r>
          </w:p>
        </w:tc>
      </w:tr>
    </w:tbl>
    <w:p>
      <w:pPr>
        <w:spacing w:after="40"/>
      </w:pPr>
    </w:p>
    <w:p>
      <w:pPr>
        <w:pStyle w:val="Heading1"/>
      </w:pPr>
      <w:r>
        <w:t>Title and Abstract</w:t>
      </w:r>
    </w:p>
    <w:p>
      <w:r>
        <w:t>Title: An Executable Evidence-Gate Specification for Pharmacogenomic LLM Alerts</w:t>
      </w:r>
    </w:p>
    <w:p>
      <w:r>
        <w:t>Abstract: LLM-generated medication alerts can sound more certain than their evidence permits. We built an executable Stage 1 specification for pharmacogenomic and genomic medication-alert text. Given structured annotations that a future live system would need to extract, the specification checks source support, population fit, and claim strength, then returns allow, narrow, abstain, or deny. Stage 1 uses author-designed synthetic cases with oracle annotations; it is a conformance and preregistration scaffold, not an end-to-end clinical system. Disabling source support, population fit, or claim strength let 2, 1, and 6 of 23 designed overclaims pass unchanged, respectively. A claim-strength-only comparator left 3/23 overclaims unchanged (PGX31-PGX33), while the full monitor routed 23/23 and preserved 10/10 bounded alerts. Arm B withheld source-support labels for PGX31-PGX33; GPT-5.6-terra matched all three deterministic actions and primary checks, while Grok-4.5 matched PGX31 and PGX32 but attributed PGX33 to claim strength. These are specification-conformance results, not clinical safety, annotation validity, generalization, or patient-benefit evidence.</w:t>
      </w:r>
    </w:p>
    <w:p>
      <w:pPr>
        <w:pStyle w:val="Heading1"/>
      </w:pPr>
      <w:r>
        <w:t>Generative AI Use</w:t>
      </w:r>
    </w:p>
    <w:p>
      <w:r>
        <w:t>Generative AI tools were used for brainstorming, critique, code scaffolding, drafting, packaging, formatting, and LLM self-evaluation baselines on synthetic annotations only. Arm A used GPT-5.6-terra and Grok-4.5 with full structured labels; Arm B used the same models on PGX31-PGX33 with source-support labels withheld, sentinel cues removed, and structured citations supplied. No real patient records, protected health information, or private genomic data were transmitted.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pPr>
      <w:r>
        <w:t>Synthetic 33-case pharmacogenomic/genomic medication-alert case bank with no real patient data, PHI, diagnosis, or treatment recommendation.</w:t>
      </w:r>
    </w:p>
    <w:p>
      <w:pPr>
        <w:pStyle w:val="ListBullet"/>
      </w:pPr>
      <w:r>
        <w:t>Executable three-check controller with unit tests and deterministic replay outputs.</w:t>
      </w:r>
    </w:p>
    <w:p>
      <w:pPr>
        <w:pStyle w:val="ListBullet"/>
      </w:pPr>
      <w:r>
        <w:t>One-check ablation CSV, simple policy-comparator CSV, precedence-sensitivity CSV, Arm A/Arm B LLM self-evaluation CSV/JSON outputs, synthetic uniform-NARROW sanity outputs, and CSV/JSON summaries for overclaim handling, inappropriate denial, calibration, and check categories.</w:t>
      </w:r>
    </w:p>
    <w:p>
      <w:pPr>
        <w:pStyle w:val="Heading1"/>
      </w:pPr>
      <w:r>
        <w:t>Evidence-Boundary Framework</w:t>
      </w:r>
    </w:p>
    <w:p>
      <w:r>
        <w:t>The empirical workflow is pharmacogenomics, but the design pattern is broader: source support asks whether evidence exists and applies; population fit asks whether evidence transports to the target patient or population; and claim strength asks whether the evidence supports the displayed action rather than only a weaker association or surrogate endpoint.</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