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38"/>
        </w:rPr>
        <w:t>Technical Supplement</w:t>
      </w:r>
    </w:p>
    <w:p>
      <w:pPr>
        <w:spacing w:after="80"/>
      </w:pPr>
      <w:r>
        <w:rPr>
          <w:rFonts w:ascii="Calibri" w:hAnsi="Calibri"/>
          <w:i/>
          <w:color w:val="555555"/>
          <w:sz w:val="23"/>
        </w:rPr>
        <w:t>Pruned PGx evidence-gate case bank and reproducibility notes</w:t>
      </w:r>
    </w:p>
    <w:p>
      <w:pPr>
        <w:spacing w:after="240"/>
      </w:pPr>
      <w:r>
        <w:rPr>
          <w:rFonts w:ascii="Calibri" w:hAnsi="Calibri"/>
          <w:color w:val="555555"/>
          <w:sz w:val="19"/>
        </w:rPr>
        <w:t>Author: Ravi Bajaj | Course: AI in Healthcare</w:t>
      </w:r>
    </w:p>
    <w:p>
      <w:pPr>
        <w:pStyle w:val="Heading1"/>
      </w:pPr>
      <w:r>
        <w:t>Safety Boundary</w:t>
      </w:r>
    </w:p>
    <w:p>
      <w:pPr>
        <w:pStyle w:val="ListBullet"/>
        <w:spacing w:after="60"/>
      </w:pPr>
      <w:r>
        <w:rPr>
          <w:rFonts w:ascii="Calibri" w:hAnsi="Calibri"/>
        </w:rPr>
        <w:t>Synthetic-only research artifact.</w:t>
      </w:r>
    </w:p>
    <w:p>
      <w:pPr>
        <w:pStyle w:val="ListBullet"/>
        <w:spacing w:after="60"/>
      </w:pPr>
      <w:r>
        <w:rPr>
          <w:rFonts w:ascii="Calibri" w:hAnsi="Calibri"/>
        </w:rPr>
        <w:t>No real patient data or protected health information.</w:t>
      </w:r>
    </w:p>
    <w:p>
      <w:pPr>
        <w:pStyle w:val="ListBullet"/>
        <w:spacing w:after="60"/>
      </w:pPr>
      <w:r>
        <w:rPr>
          <w:rFonts w:ascii="Calibri" w:hAnsi="Calibri"/>
        </w:rPr>
        <w:t>No diagnosis or treatment recommendation.</w:t>
      </w:r>
    </w:p>
    <w:p>
      <w:pPr>
        <w:pStyle w:val="ListBullet"/>
        <w:spacing w:after="60"/>
      </w:pPr>
      <w:r>
        <w:rPr>
          <w:rFonts w:ascii="Calibri" w:hAnsi="Calibri"/>
        </w:rPr>
        <w:t>The controller evaluates claim permission levels, not patient care.</w:t>
      </w:r>
    </w:p>
    <w:p>
      <w:pPr>
        <w:pStyle w:val="ListBullet"/>
        <w:spacing w:after="60"/>
      </w:pPr>
      <w:r>
        <w:rPr>
          <w:rFonts w:ascii="Calibri" w:hAnsi="Calibri"/>
        </w:rPr>
        <w:t>Stage 1 results are specification-conformance counts on author-designed synthetic archetypes, not independent safety, accuracy, or generalization. The controller consumes structured evidence annotations only; it does not parse free text or call an LLM.</w:t>
      </w:r>
    </w:p>
    <w:p>
      <w:pPr>
        <w:pStyle w:val="Heading1"/>
      </w:pPr>
      <w:r>
        <w:t>Reproducibility</w:t>
      </w:r>
    </w:p>
    <w:p>
      <w:r>
        <w:rPr>
          <w:rFonts w:ascii="Calibri" w:hAnsi="Calibri"/>
        </w:rPr>
        <w:t>Run from the repository root:</w:t>
      </w:r>
    </w:p>
    <w:p>
      <w:r>
        <w:rPr>
          <w:rFonts w:ascii="Calibri" w:hAnsi="Calibri"/>
        </w:rPr>
        <w:t>py -3.13 code\pruned_evidence_gate.py</w:t>
      </w:r>
    </w:p>
    <w:p>
      <w:r>
        <w:rPr>
          <w:rFonts w:ascii="Calibri" w:hAnsi="Calibri"/>
        </w:rPr>
        <w:t>py -3.13 -m pytest code -q</w:t>
      </w:r>
    </w:p>
    <w:p>
      <w:pPr>
        <w:pStyle w:val="Heading1"/>
      </w:pPr>
      <w:r>
        <w:t>Case Matrix</w:t>
      </w:r>
    </w:p>
    <w:p>
      <w:r>
        <w:rPr>
          <w:rFonts w:ascii="Aptos" w:hAnsi="Aptos" w:eastAsia="Aptos"/>
        </w:rPr>
        <w:t>The final case matrix contains 33 author-designed synthetic cases: 10 bounded aligned alerts and 23 designed overclaim archetypes. PGX31-PGX33 were added after review feedback to isolate gate necessity rather than merely increasing case count: PGX31 and PGX33 are citation/guideline-support-only failures, PGX32 is a population-fit-only failure, and six endpoint-only cases remain in the bank.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1900"/>
        <w:gridCol w:w="2600"/>
        <w:gridCol w:w="2500"/>
        <w:gridCol w:w="1460"/>
      </w:tblGrid>
      <w:tr>
        <w:tc>
          <w:tcPr>
            <w:tcW w:type="dxa" w:w="9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ID</w:t>
            </w:r>
          </w:p>
        </w:tc>
        <w:tc>
          <w:tcPr>
            <w:tcW w:type="dxa" w:w="19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Drug-gene</w:t>
            </w:r>
          </w:p>
        </w:tc>
        <w:tc>
          <w:tcPr>
            <w:tcW w:type="dxa" w:w="26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Action</w:t>
            </w:r>
          </w:p>
        </w:tc>
        <w:tc>
          <w:tcPr>
            <w:tcW w:type="dxa" w:w="25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Primary gate</w:t>
            </w:r>
          </w:p>
        </w:tc>
        <w:tc>
          <w:tcPr>
            <w:tcW w:type="dxa" w:w="14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Overclaim</w:t>
            </w:r>
          </w:p>
        </w:tc>
      </w:tr>
      <w:tr>
        <w:tc>
          <w:tcPr>
            <w:tcW w:type="dxa" w:w="900"/>
          </w:tcPr>
          <w:p>
            <w:r>
              <w:t>PGX01</w:t>
            </w:r>
          </w:p>
        </w:tc>
        <w:tc>
          <w:tcPr>
            <w:tcW w:type="dxa" w:w="1900"/>
          </w:tcPr>
          <w:p>
            <w:r>
              <w:t>CYP2C19-clopidogrel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PGX02</w:t>
            </w:r>
          </w:p>
        </w:tc>
        <w:tc>
          <w:tcPr>
            <w:tcW w:type="dxa" w:w="1900"/>
          </w:tcPr>
          <w:p>
            <w:r>
              <w:t>CYP2C19-clopidogrel</w:t>
            </w:r>
          </w:p>
        </w:tc>
        <w:tc>
          <w:tcPr>
            <w:tcW w:type="dxa" w:w="2600"/>
          </w:tcPr>
          <w:p>
            <w:r>
              <w:t>narrow claim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PGX03</w:t>
            </w:r>
          </w:p>
        </w:tc>
        <w:tc>
          <w:tcPr>
            <w:tcW w:type="dxa" w:w="1900"/>
          </w:tcPr>
          <w:p>
            <w:r>
              <w:t>CYP2C19-clopidogrel</w:t>
            </w:r>
          </w:p>
        </w:tc>
        <w:tc>
          <w:tcPr>
            <w:tcW w:type="dxa" w:w="2600"/>
          </w:tcPr>
          <w:p>
            <w:r>
              <w:t>narrow claim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PGX04</w:t>
            </w:r>
          </w:p>
        </w:tc>
        <w:tc>
          <w:tcPr>
            <w:tcW w:type="dxa" w:w="1900"/>
          </w:tcPr>
          <w:p>
            <w:r>
              <w:t>DPYD-fluoropyrimidines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PGX05</w:t>
            </w:r>
          </w:p>
        </w:tc>
        <w:tc>
          <w:tcPr>
            <w:tcW w:type="dxa" w:w="1900"/>
          </w:tcPr>
          <w:p>
            <w:r>
              <w:t>DPYD-fluoropyrimidines</w:t>
            </w:r>
          </w:p>
        </w:tc>
        <w:tc>
          <w:tcPr>
            <w:tcW w:type="dxa" w:w="2600"/>
          </w:tcPr>
          <w:p>
            <w:r>
              <w:t>narrow claim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PGX06</w:t>
            </w:r>
          </w:p>
        </w:tc>
        <w:tc>
          <w:tcPr>
            <w:tcW w:type="dxa" w:w="1900"/>
          </w:tcPr>
          <w:p>
            <w:r>
              <w:t>TPMT/NUDT15-thiopurines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PGX07</w:t>
            </w:r>
          </w:p>
        </w:tc>
        <w:tc>
          <w:tcPr>
            <w:tcW w:type="dxa" w:w="1900"/>
          </w:tcPr>
          <w:p>
            <w:r>
              <w:t>TPMT/NUDT15-thiopurines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PGX08</w:t>
            </w:r>
          </w:p>
        </w:tc>
        <w:tc>
          <w:tcPr>
            <w:tcW w:type="dxa" w:w="1900"/>
          </w:tcPr>
          <w:p>
            <w:r>
              <w:t>HLA-B*57:01-abacavir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PGX09</w:t>
            </w:r>
          </w:p>
        </w:tc>
        <w:tc>
          <w:tcPr>
            <w:tcW w:type="dxa" w:w="1900"/>
          </w:tcPr>
          <w:p>
            <w:r>
              <w:t>HLA-B*15:02-carbamazepine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PGX10</w:t>
            </w:r>
          </w:p>
        </w:tc>
        <w:tc>
          <w:tcPr>
            <w:tcW w:type="dxa" w:w="1900"/>
          </w:tcPr>
          <w:p>
            <w:r>
              <w:t>HLA-B*15:02-carbamazepine</w:t>
            </w:r>
          </w:p>
        </w:tc>
        <w:tc>
          <w:tcPr>
            <w:tcW w:type="dxa" w:w="2600"/>
          </w:tcPr>
          <w:p>
            <w:r>
              <w:t>abstain population fit</w:t>
            </w:r>
          </w:p>
        </w:tc>
        <w:tc>
          <w:tcPr>
            <w:tcW w:type="dxa" w:w="2500"/>
          </w:tcPr>
          <w:p>
            <w:r>
              <w:t>population fit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PGX11</w:t>
            </w:r>
          </w:p>
        </w:tc>
        <w:tc>
          <w:tcPr>
            <w:tcW w:type="dxa" w:w="1900"/>
          </w:tcPr>
          <w:p>
            <w:r>
              <w:t>CYP2D6-codeine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PGX12</w:t>
            </w:r>
          </w:p>
        </w:tc>
        <w:tc>
          <w:tcPr>
            <w:tcW w:type="dxa" w:w="1900"/>
          </w:tcPr>
          <w:p>
            <w:r>
              <w:t>CYP2D6-opioids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PGX13</w:t>
            </w:r>
          </w:p>
        </w:tc>
        <w:tc>
          <w:tcPr>
            <w:tcW w:type="dxa" w:w="1900"/>
          </w:tcPr>
          <w:p>
            <w:r>
              <w:t>CYP2D6-tramadol</w:t>
            </w:r>
          </w:p>
        </w:tc>
        <w:tc>
          <w:tcPr>
            <w:tcW w:type="dxa" w:w="2600"/>
          </w:tcPr>
          <w:p>
            <w:r>
              <w:t>narrow claim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PGX14</w:t>
            </w:r>
          </w:p>
        </w:tc>
        <w:tc>
          <w:tcPr>
            <w:tcW w:type="dxa" w:w="1900"/>
          </w:tcPr>
          <w:p>
            <w:r>
              <w:t>SLCO1B1-simvastatin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PGX15</w:t>
            </w:r>
          </w:p>
        </w:tc>
        <w:tc>
          <w:tcPr>
            <w:tcW w:type="dxa" w:w="1900"/>
          </w:tcPr>
          <w:p>
            <w:r>
              <w:t>CYP2C9/VKORC1-warfarin</w:t>
            </w:r>
          </w:p>
        </w:tc>
        <w:tc>
          <w:tcPr>
            <w:tcW w:type="dxa" w:w="2600"/>
          </w:tcPr>
          <w:p>
            <w:r>
              <w:t>narrow claim</w:t>
            </w:r>
          </w:p>
        </w:tc>
        <w:tc>
          <w:tcPr>
            <w:tcW w:type="dxa" w:w="2500"/>
          </w:tcPr>
          <w:p>
            <w:r>
              <w:t>endpoint actionability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PGX16</w:t>
            </w:r>
          </w:p>
        </w:tc>
        <w:tc>
          <w:tcPr>
            <w:tcW w:type="dxa" w:w="1900"/>
          </w:tcPr>
          <w:p>
            <w:r>
              <w:t>UGT1A1-irinotecan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PGX17</w:t>
            </w:r>
          </w:p>
        </w:tc>
        <w:tc>
          <w:tcPr>
            <w:tcW w:type="dxa" w:w="1900"/>
          </w:tcPr>
          <w:p>
            <w:r>
              <w:t>MTHFR-folate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PGX18</w:t>
            </w:r>
          </w:p>
        </w:tc>
        <w:tc>
          <w:tcPr>
            <w:tcW w:type="dxa" w:w="1900"/>
          </w:tcPr>
          <w:p>
            <w:r>
              <w:t>COMT-psychiatric medication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PGX19</w:t>
            </w:r>
          </w:p>
        </w:tc>
        <w:tc>
          <w:tcPr>
            <w:tcW w:type="dxa" w:w="1900"/>
          </w:tcPr>
          <w:p>
            <w:r>
              <w:t>APOE-dementia risk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PGX20</w:t>
            </w:r>
          </w:p>
        </w:tc>
        <w:tc>
          <w:tcPr>
            <w:tcW w:type="dxa" w:w="1900"/>
          </w:tcPr>
          <w:p>
            <w:r>
              <w:t>RYR1/CACNA1S-anesthesia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PGX21</w:t>
            </w:r>
          </w:p>
        </w:tc>
        <w:tc>
          <w:tcPr>
            <w:tcW w:type="dxa" w:w="1900"/>
          </w:tcPr>
          <w:p>
            <w:r>
              <w:t>G6PD-oxidant drugs</w:t>
            </w:r>
          </w:p>
        </w:tc>
        <w:tc>
          <w:tcPr>
            <w:tcW w:type="dxa" w:w="2600"/>
          </w:tcPr>
          <w:p>
            <w:r>
              <w:t>allow bounded alert</w:t>
            </w:r>
          </w:p>
        </w:tc>
        <w:tc>
          <w:tcPr>
            <w:tcW w:type="dxa" w:w="2500"/>
          </w:tcPr>
          <w:p>
            <w:r>
              <w:t>none</w:t>
            </w:r>
          </w:p>
        </w:tc>
        <w:tc>
          <w:tcPr>
            <w:tcW w:type="dxa" w:w="1460"/>
          </w:tcPr>
          <w:p>
            <w:r>
              <w:t>False</w:t>
            </w:r>
          </w:p>
        </w:tc>
      </w:tr>
      <w:tr>
        <w:tc>
          <w:tcPr>
            <w:tcW w:type="dxa" w:w="900"/>
          </w:tcPr>
          <w:p>
            <w:r>
              <w:t>PGX22</w:t>
            </w:r>
          </w:p>
        </w:tc>
        <w:tc>
          <w:tcPr>
            <w:tcW w:type="dxa" w:w="1900"/>
          </w:tcPr>
          <w:p>
            <w:r>
              <w:t>IFNL3-hepatitis C</w:t>
            </w:r>
          </w:p>
        </w:tc>
        <w:tc>
          <w:tcPr>
            <w:tcW w:type="dxa" w:w="2600"/>
          </w:tcPr>
          <w:p>
            <w:r>
              <w:t>abstain citation support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PGX23</w:t>
            </w:r>
          </w:p>
        </w:tc>
        <w:tc>
          <w:tcPr>
            <w:tcW w:type="dxa" w:w="1900"/>
          </w:tcPr>
          <w:p>
            <w:r>
              <w:t>ACE-fitness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PGX24</w:t>
            </w:r>
          </w:p>
        </w:tc>
        <w:tc>
          <w:tcPr>
            <w:tcW w:type="dxa" w:w="1900"/>
          </w:tcPr>
          <w:p>
            <w:r>
              <w:t>Polygenic addiction liability</w:t>
            </w:r>
          </w:p>
        </w:tc>
        <w:tc>
          <w:tcPr>
            <w:tcW w:type="dxa" w:w="2600"/>
          </w:tcPr>
          <w:p>
            <w:r>
              <w:t>deny unsupported action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PGX25</w:t>
            </w:r>
          </w:p>
        </w:tc>
        <w:tc>
          <w:tcPr>
            <w:tcW w:type="dxa" w:w="1900"/>
          </w:tcPr>
          <w:p>
            <w:r>
              <w:t>Genome India population transport</w:t>
            </w:r>
          </w:p>
        </w:tc>
        <w:tc>
          <w:tcPr>
            <w:tcW w:type="dxa" w:w="2600"/>
          </w:tcPr>
          <w:p>
            <w:r>
              <w:t>abstain population fit</w:t>
            </w:r>
          </w:p>
        </w:tc>
        <w:tc>
          <w:tcPr>
            <w:tcW w:type="dxa" w:w="2500"/>
          </w:tcPr>
          <w:p>
            <w:r>
              <w:t>population fit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PGX26</w:t>
            </w:r>
          </w:p>
        </w:tc>
        <w:tc>
          <w:tcPr>
            <w:tcW w:type="dxa" w:w="1900"/>
          </w:tcPr>
          <w:p>
            <w:r>
              <w:t>Israel founder-variant transport</w:t>
            </w:r>
          </w:p>
        </w:tc>
        <w:tc>
          <w:tcPr>
            <w:tcW w:type="dxa" w:w="2600"/>
          </w:tcPr>
          <w:p>
            <w:r>
              <w:t>abstain population fit</w:t>
            </w:r>
          </w:p>
        </w:tc>
        <w:tc>
          <w:tcPr>
            <w:tcW w:type="dxa" w:w="2500"/>
          </w:tcPr>
          <w:p>
            <w:r>
              <w:t>population fit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PGX27</w:t>
            </w:r>
          </w:p>
        </w:tc>
        <w:tc>
          <w:tcPr>
            <w:tcW w:type="dxa" w:w="1900"/>
          </w:tcPr>
          <w:p>
            <w:r>
              <w:t>All of Us / TOPMed transport</w:t>
            </w:r>
          </w:p>
        </w:tc>
        <w:tc>
          <w:tcPr>
            <w:tcW w:type="dxa" w:w="2600"/>
          </w:tcPr>
          <w:p>
            <w:r>
              <w:t>abstain population fit</w:t>
            </w:r>
          </w:p>
        </w:tc>
        <w:tc>
          <w:tcPr>
            <w:tcW w:type="dxa" w:w="2500"/>
          </w:tcPr>
          <w:p>
            <w:r>
              <w:t>population fit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PGX28</w:t>
            </w:r>
          </w:p>
        </w:tc>
        <w:tc>
          <w:tcPr>
            <w:tcW w:type="dxa" w:w="1900"/>
          </w:tcPr>
          <w:p>
            <w:r>
              <w:t>ClinVar VUS</w:t>
            </w:r>
          </w:p>
        </w:tc>
        <w:tc>
          <w:tcPr>
            <w:tcW w:type="dxa" w:w="2600"/>
          </w:tcPr>
          <w:p>
            <w:r>
              <w:t>abstain citation support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PGX29</w:t>
            </w:r>
          </w:p>
        </w:tc>
        <w:tc>
          <w:tcPr>
            <w:tcW w:type="dxa" w:w="1900"/>
          </w:tcPr>
          <w:p>
            <w:r>
              <w:t>ClinVar conflicting submissions</w:t>
            </w:r>
          </w:p>
        </w:tc>
        <w:tc>
          <w:tcPr>
            <w:tcW w:type="dxa" w:w="2600"/>
          </w:tcPr>
          <w:p>
            <w:r>
              <w:t>abstain citation support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PGX30</w:t>
            </w:r>
          </w:p>
        </w:tc>
        <w:tc>
          <w:tcPr>
            <w:tcW w:type="dxa" w:w="1900"/>
          </w:tcPr>
          <w:p>
            <w:r>
              <w:t>Fabricated guideline citation</w:t>
            </w:r>
          </w:p>
        </w:tc>
        <w:tc>
          <w:tcPr>
            <w:tcW w:type="dxa" w:w="2600"/>
          </w:tcPr>
          <w:p>
            <w:r>
              <w:t>deny citation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PGX31</w:t>
            </w:r>
          </w:p>
        </w:tc>
        <w:tc>
          <w:tcPr>
            <w:tcW w:type="dxa" w:w="1900"/>
          </w:tcPr>
          <w:p>
            <w:r>
              <w:t>CYP2C19-clopidogrel fabricated guideline</w:t>
            </w:r>
          </w:p>
        </w:tc>
        <w:tc>
          <w:tcPr>
            <w:tcW w:type="dxa" w:w="2600"/>
          </w:tcPr>
          <w:p>
            <w:r>
              <w:t>deny citation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PGX32</w:t>
            </w:r>
          </w:p>
        </w:tc>
        <w:tc>
          <w:tcPr>
            <w:tcW w:type="dxa" w:w="1900"/>
          </w:tcPr>
          <w:p>
            <w:r>
              <w:t>DPYD population transport</w:t>
            </w:r>
          </w:p>
        </w:tc>
        <w:tc>
          <w:tcPr>
            <w:tcW w:type="dxa" w:w="2600"/>
          </w:tcPr>
          <w:p>
            <w:r>
              <w:t>abstain population fit</w:t>
            </w:r>
          </w:p>
        </w:tc>
        <w:tc>
          <w:tcPr>
            <w:tcW w:type="dxa" w:w="2500"/>
          </w:tcPr>
          <w:p>
            <w:r>
              <w:t>population fit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  <w:tr>
        <w:tc>
          <w:tcPr>
            <w:tcW w:type="dxa" w:w="900"/>
          </w:tcPr>
          <w:p>
            <w:r>
              <w:t>PGX33</w:t>
            </w:r>
          </w:p>
        </w:tc>
        <w:tc>
          <w:tcPr>
            <w:tcW w:type="dxa" w:w="1900"/>
          </w:tcPr>
          <w:p>
            <w:r>
              <w:t>IFNL3 stale guideline citation</w:t>
            </w:r>
          </w:p>
        </w:tc>
        <w:tc>
          <w:tcPr>
            <w:tcW w:type="dxa" w:w="2600"/>
          </w:tcPr>
          <w:p>
            <w:r>
              <w:t>abstain citation support</w:t>
            </w:r>
          </w:p>
        </w:tc>
        <w:tc>
          <w:tcPr>
            <w:tcW w:type="dxa" w:w="2500"/>
          </w:tcPr>
          <w:p>
            <w:r>
              <w:t>citation guideline support</w:t>
            </w:r>
          </w:p>
        </w:tc>
        <w:tc>
          <w:tcPr>
            <w:tcW w:type="dxa" w:w="1460"/>
          </w:tcPr>
          <w:p>
            <w:r>
              <w:t>True</w:t>
            </w:r>
          </w:p>
        </w:tc>
      </w:tr>
    </w:tbl>
    <w:p>
      <w:pPr>
        <w:spacing w:after="40"/>
      </w:pPr>
    </w:p>
    <w:p>
      <w:pPr>
        <w:pStyle w:val="Heading1"/>
      </w:pPr>
      <w:r>
        <w:t>Metric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500"/>
        <w:gridCol w:w="5860"/>
      </w:tblGrid>
      <w:tr>
        <w:tc>
          <w:tcPr>
            <w:tcW w:type="dxa" w:w="350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58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3500"/>
            <w:vAlign w:val="center"/>
          </w:tcPr>
          <w:p>
            <w:r>
              <w:t>Case count</w:t>
            </w:r>
          </w:p>
        </w:tc>
        <w:tc>
          <w:tcPr>
            <w:tcW w:type="dxa" w:w="5860"/>
            <w:vAlign w:val="center"/>
          </w:tcPr>
          <w:p>
            <w:r>
              <w:t>33</w:t>
            </w:r>
          </w:p>
        </w:tc>
      </w:tr>
      <w:tr>
        <w:tc>
          <w:tcPr>
            <w:tcW w:type="dxa" w:w="3500"/>
            <w:vAlign w:val="center"/>
          </w:tcPr>
          <w:p>
            <w:r>
              <w:t>Author-designed overclaim cases</w:t>
            </w:r>
          </w:p>
        </w:tc>
        <w:tc>
          <w:tcPr>
            <w:tcW w:type="dxa" w:w="5860"/>
            <w:vAlign w:val="center"/>
          </w:tcPr>
          <w:p>
            <w:r>
              <w:t>23</w:t>
            </w:r>
          </w:p>
        </w:tc>
      </w:tr>
      <w:tr>
        <w:tc>
          <w:tcPr>
            <w:tcW w:type="dxa" w:w="3500"/>
            <w:vAlign w:val="center"/>
          </w:tcPr>
          <w:p>
            <w:r>
              <w:t>Overclaim archetypes allowed unchanged</w:t>
            </w:r>
          </w:p>
        </w:tc>
        <w:tc>
          <w:tcPr>
            <w:tcW w:type="dxa" w:w="5860"/>
            <w:vAlign w:val="center"/>
          </w:tcPr>
          <w:p>
            <w:r>
              <w:t>0/23</w:t>
            </w:r>
          </w:p>
        </w:tc>
      </w:tr>
      <w:tr>
        <w:tc>
          <w:tcPr>
            <w:tcW w:type="dxa" w:w="3500"/>
            <w:vAlign w:val="center"/>
          </w:tcPr>
          <w:p>
            <w:r>
              <w:t>Designed overclaim archetypes intercepted</w:t>
            </w:r>
          </w:p>
        </w:tc>
        <w:tc>
          <w:tcPr>
            <w:tcW w:type="dxa" w:w="5860"/>
            <w:vAlign w:val="center"/>
          </w:tcPr>
          <w:p>
            <w:r>
              <w:t>23/23</w:t>
            </w:r>
          </w:p>
        </w:tc>
      </w:tr>
      <w:tr>
        <w:tc>
          <w:tcPr>
            <w:tcW w:type="dxa" w:w="3500"/>
            <w:vAlign w:val="center"/>
          </w:tcPr>
          <w:p>
            <w:r>
              <w:t>Bounded alerts allowed</w:t>
            </w:r>
          </w:p>
        </w:tc>
        <w:tc>
          <w:tcPr>
            <w:tcW w:type="dxa" w:w="5860"/>
            <w:vAlign w:val="center"/>
          </w:tcPr>
          <w:p>
            <w:r>
              <w:t>10/10</w:t>
            </w:r>
          </w:p>
        </w:tc>
      </w:tr>
      <w:tr>
        <w:tc>
          <w:tcPr>
            <w:tcW w:type="dxa" w:w="3500"/>
            <w:vAlign w:val="center"/>
          </w:tcPr>
          <w:p>
            <w:r>
              <w:t>Inappropriate denial count</w:t>
            </w:r>
          </w:p>
        </w:tc>
        <w:tc>
          <w:tcPr>
            <w:tcW w:type="dxa" w:w="5860"/>
            <w:vAlign w:val="center"/>
          </w:tcPr>
          <w:p>
            <w:r>
              <w:t>0</w:t>
            </w:r>
          </w:p>
        </w:tc>
      </w:tr>
      <w:tr>
        <w:tc>
          <w:tcPr>
            <w:tcW w:type="dxa" w:w="3500"/>
            <w:vAlign w:val="center"/>
          </w:tcPr>
          <w:p>
            <w:r>
              <w:t>Action conformance rate</w:t>
            </w:r>
          </w:p>
        </w:tc>
        <w:tc>
          <w:tcPr>
            <w:tcW w:type="dxa" w:w="5860"/>
            <w:vAlign w:val="center"/>
          </w:tcPr>
          <w:p>
            <w:r>
              <w:t>1.000</w:t>
            </w:r>
          </w:p>
        </w:tc>
      </w:tr>
      <w:tr>
        <w:tc>
          <w:tcPr>
            <w:tcW w:type="dxa" w:w="3500"/>
          </w:tcPr>
          <w:p>
            <w:r>
              <w:t>Primary-gate conformance rate</w:t>
            </w:r>
          </w:p>
        </w:tc>
        <w:tc>
          <w:tcPr>
            <w:tcW w:type="dxa" w:w="5860"/>
          </w:tcPr>
          <w:p>
            <w:r>
              <w:t>0.939</w:t>
            </w:r>
          </w:p>
        </w:tc>
      </w:tr>
      <w:tr>
        <w:tc>
          <w:tcPr>
            <w:tcW w:type="dxa" w:w="3500"/>
          </w:tcPr>
          <w:p>
            <w:r>
              <w:t>Gate-precedence mismatches</w:t>
            </w:r>
          </w:p>
        </w:tc>
        <w:tc>
          <w:tcPr>
            <w:tcW w:type="dxa" w:w="5860"/>
          </w:tcPr>
          <w:p>
            <w:r>
              <w:t>PGX19; PGX24</w:t>
            </w:r>
          </w:p>
        </w:tc>
      </w:tr>
    </w:tbl>
    <w:p>
      <w:pPr>
        <w:spacing w:after="40"/>
      </w:pPr>
    </w:p>
    <w:p>
      <w:pPr>
        <w:pStyle w:val="Heading1"/>
      </w:pPr>
      <w:r>
        <w:t>Gate Ablation Snapshot</w:t>
      </w:r>
    </w:p>
    <w:p>
      <w:r>
        <w:rPr>
          <w:rFonts w:ascii="Aptos" w:hAnsi="Aptos" w:eastAsia="Aptos"/>
        </w:rPr>
        <w:t>One-gate ablations disable exactly one gate while leaving the other two gates active. The isolating cases make the ablation causal rather than decorative: PGX31 and PGX33 are uniquely caught by citation/guideline support, PGX32 is uniquely caught by population fit, and six endpoint-only cases are uniquely caught by endpoint/actionability. Disabling citation/guideline support lets 2/23 designed overclaims through unchanged, disabling population fit lets 1/23 through, and disabling endpoint/actionability lets 6/23 through. Counts remain synthetic Stage 1 diagnostics, not clinical utility estimates.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16"/>
              </w:rPr>
              <w:t>Disabled gate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16"/>
              </w:rPr>
              <w:t>Overclaims allowed unchanged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16"/>
              </w:rPr>
              <w:t>Action changes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16"/>
              </w:rPr>
              <w:t>Primary-gate changes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sz w:val="16"/>
              </w:rPr>
              <w:t>Citation/guideline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sz w:val="16"/>
              </w:rPr>
              <w:t>Population fit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sz w:val="16"/>
              </w:rPr>
              <w:t>Endpoint/actionability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080" w:left="1224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7"/>
      </w:rPr>
      <w:t>Ravi Bajaj - Technical Supplement - August 8,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