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rPr>
          <w:rFonts w:ascii="Calibri" w:hAnsi="Calibri"/>
          <w:i/>
          <w:color w:val="555555"/>
          <w:sz w:val="23"/>
        </w:rPr>
        <w:t>Pruned evidence-gated pharmacogenomic LLM-alert capstone</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Pr>
                <w:rFonts w:ascii="Aptos" w:hAnsi="Aptos" w:eastAsia="Aptos"/>
                <w:sz w:val="16"/>
              </w:rPr>
            </w:r>
            <w:r>
              <w:rPr>
                <w:rFonts w:ascii="Aptos" w:hAnsi="Aptos" w:eastAsia="Aptos"/>
                <w:b/>
                <w:color w:val="000000"/>
                <w:sz w:val="16"/>
              </w:rPr>
              <w:t>Field</w:t>
            </w:r>
          </w:p>
        </w:tc>
        <w:tc>
          <w:tcPr>
            <w:tcW w:type="dxa" w:w="6760"/>
            <w:vAlign w:val="center"/>
            <w:shd w:fill="F4F6F9"/>
          </w:tcPr>
          <w:p>
            <w:pPr>
              <w:spacing w:after="0"/>
            </w:pPr>
            <w:r>
              <w:rPr>
                <w:rFonts w:ascii="Aptos" w:hAnsi="Aptos" w:eastAsia="Aptos"/>
                <w:sz w:val="16"/>
              </w:rPr>
            </w:r>
            <w:r>
              <w:rPr>
                <w:rFonts w:ascii="Aptos" w:hAnsi="Aptos" w:eastAsia="Aptos"/>
                <w:b/>
                <w:color w:val="000000"/>
                <w:sz w:val="16"/>
              </w:rPr>
              <w:t>Value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Name</w:t>
            </w:r>
          </w:p>
        </w:tc>
        <w:tc>
          <w:tcPr>
            <w:tcW w:type="dxa" w:w="6760"/>
            <w:vAlign w:val="center"/>
          </w:tcPr>
          <w:p>
            <w:pPr>
              <w:spacing w:after="0"/>
            </w:pPr>
            <w:r>
              <w:rPr>
                <w:rFonts w:ascii="Aptos" w:hAnsi="Aptos" w:eastAsia="Aptos"/>
                <w:sz w:val="16"/>
              </w:rPr>
            </w:r>
            <w:r>
              <w:rPr>
                <w:rFonts w:ascii="Aptos" w:hAnsi="Aptos" w:eastAsia="Aptos"/>
                <w:b w:val="0"/>
                <w:color w:val="000000"/>
                <w:sz w:val="16"/>
              </w:rPr>
              <w:t>Machine Learning for Health Symposium (ML4H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URL</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instructions / CFP</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https://ml4h.ahli.cc/submit/call-for-papers/</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Submission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September 10, 2026, 11:59 PM AoE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notification</w:t>
            </w:r>
          </w:p>
        </w:tc>
        <w:tc>
          <w:tcPr>
            <w:tcW w:type="dxa" w:w="6760"/>
            <w:vAlign w:val="center"/>
          </w:tcPr>
          <w:p>
            <w:pPr>
              <w:spacing w:after="0"/>
            </w:pPr>
            <w:r>
              <w:rPr>
                <w:rFonts w:ascii="Aptos" w:hAnsi="Aptos" w:eastAsia="Aptos"/>
                <w:sz w:val="16"/>
              </w:rPr>
            </w:r>
            <w:r>
              <w:rPr>
                <w:rFonts w:ascii="Aptos" w:hAnsi="Aptos" w:eastAsia="Aptos"/>
                <w:b w:val="0"/>
                <w:color w:val="000000"/>
                <w:sz w:val="16"/>
              </w:rPr>
              <w:t>October 22,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Camera-ready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November 7, 2026 (tentative)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Event dates</w:t>
            </w:r>
          </w:p>
        </w:tc>
        <w:tc>
          <w:tcPr>
            <w:tcW w:type="dxa" w:w="6760"/>
            <w:vAlign w:val="center"/>
          </w:tcPr>
          <w:p>
            <w:pPr>
              <w:spacing w:after="0"/>
            </w:pPr>
            <w:r>
              <w:rPr>
                <w:rFonts w:ascii="Aptos" w:hAnsi="Aptos" w:eastAsia="Aptos"/>
                <w:sz w:val="16"/>
              </w:rPr>
            </w:r>
            <w:r>
              <w:rPr>
                <w:rFonts w:ascii="Aptos" w:hAnsi="Aptos" w:eastAsia="Aptos"/>
                <w:b w:val="0"/>
                <w:color w:val="000000"/>
                <w:sz w:val="16"/>
              </w:rPr>
              <w:t>December 6-7,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Location</w:t>
            </w:r>
          </w:p>
        </w:tc>
        <w:tc>
          <w:tcPr>
            <w:tcW w:type="dxa" w:w="6760"/>
            <w:vAlign w:val="center"/>
          </w:tcPr>
          <w:p>
            <w:pPr>
              <w:spacing w:after="0"/>
            </w:pPr>
            <w:r>
              <w:rPr>
                <w:rFonts w:ascii="Aptos" w:hAnsi="Aptos" w:eastAsia="Aptos"/>
                <w:sz w:val="16"/>
              </w:rPr>
            </w:r>
            <w:r>
              <w:rPr>
                <w:rFonts w:ascii="Aptos" w:hAnsi="Aptos" w:eastAsia="Aptos"/>
                <w:b w:val="0"/>
                <w:color w:val="000000"/>
                <w:sz w:val="16"/>
              </w:rPr>
              <w:t>Sydney, Australia</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Suggested track</w:t>
            </w:r>
          </w:p>
        </w:tc>
        <w:tc>
          <w:tcPr>
            <w:tcW w:type="dxa" w:w="6760"/>
            <w:vAlign w:val="center"/>
          </w:tcPr>
          <w:p>
            <w:r>
              <w:rPr>
                <w:rFonts w:ascii="Aptos" w:hAnsi="Aptos" w:eastAsia="Aptos"/>
                <w:sz w:val="16"/>
              </w:rPr>
              <w:t>Findings Track for preliminary specification-conformance work; Proceedings Track only after independent review.</w:t>
            </w:r>
          </w:p>
        </w:tc>
      </w:tr>
      <w:tr>
        <w:tc>
          <w:tcPr>
            <w:tcW w:type="dxa" w:w="2600"/>
          </w:tcPr>
          <w:p>
            <w:r>
              <w:rPr>
                <w:rFonts w:ascii="Aptos" w:hAnsi="Aptos" w:eastAsia="Aptos"/>
                <w:sz w:val="16"/>
              </w:rPr>
              <w:t>Editable paper format</w:t>
            </w:r>
          </w:p>
        </w:tc>
        <w:tc>
          <w:tcPr>
            <w:tcW w:type="dxa" w:w="6760"/>
          </w:tcPr>
          <w:p>
            <w:r>
              <w:rPr>
                <w:rFonts w:ascii="Aptos" w:hAnsi="Aptos" w:eastAsia="Aptos"/>
                <w:sz w:val="16"/>
              </w:rPr>
              <w:t>LaTeX/Overleaf source: paper/ml4h_findings_evidence_gate.tex with paper/ml4h_findings_refs.bib; compiled PDF: paper/ml4h_findings_evidence_gate.pdf.</w:t>
            </w:r>
          </w:p>
        </w:tc>
      </w:tr>
    </w:tbl>
    <w:p>
      <w:pPr>
        <w:spacing w:after="40"/>
      </w:pPr>
    </w:p>
    <w:p>
      <w:pPr>
        <w:pStyle w:val="Heading1"/>
      </w:pPr>
      <w:r>
        <w:t>Title and Abstract</w:t>
      </w:r>
    </w:p>
    <w:p>
      <w:r>
        <w:rPr>
          <w:rFonts w:ascii="Calibri" w:hAnsi="Calibri"/>
        </w:rPr>
        <w:t>Title: Evidence-Gated Medical LLM Alerts for Pharmacogenomic Claims: Detecting Overclaiming Relative to Guideline-Supported Evidence</w:t>
      </w:r>
    </w:p>
    <w:p>
      <w:r>
        <w:t>Abstract: LLM-generated medication alerts can sound more certain than their evidence permits. We built a deterministic pre-display monitor for one workflow: pharmacogenomic and genomic medication-alert text. The monitor checks source support, population fit, and claim strength, then returns allow, narrow, abstain, or deny. Stage 1 is a synthetic specification test: the case bank supplies the structured annotations that a future live system would need to extract, and ablation tests whether any check is dispensable. Disabling source support let 2 of 23 designed overclaims pass unchanged; disabling population fit let 1 pass; disabling claim strength let 6 pass. With all checks active, all 23 designed overclaim archetypes were blocked or narrowed and all 10 bounded alerts passed unchanged. Two LLM self-evaluation baselines, GPT-5.6-terra and Grok-4.5, also routed all 23 overclaims, but differed from the deterministic monitor on selected actions or surfaced rationales. The first-triggering check matched the author-assigned check label in 31 of 33 cases, interpreted as precedence sensitivity rather than action failure. These are specification-conformance results, not clinical safety, generalization, or patient-benefit evidence.</w:t>
      </w:r>
    </w:p>
    <w:p>
      <w:pPr>
        <w:pStyle w:val="Heading1"/>
      </w:pPr>
      <w:r>
        <w:t>Generative AI Use</w:t>
      </w:r>
    </w:p>
    <w:p>
      <w:r>
        <w:t>Generative AI tools were used for brainstorming, critique, code scaffolding, drafting, packaging, formatting, and for an LLM self-evaluation baseline on synthetic annotations only. The baseline used GPT-5.6-terra and Grok-4.5; no real patient records, protected health information, or private genomic data were transmitted.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pPr>
      <w:r>
        <w:t>Synthetic 33-case pharmacogenomic/genomic medication-alert case bank with no real patient data, PHI, diagnosis, or treatment recommendation.</w:t>
      </w:r>
    </w:p>
    <w:p>
      <w:pPr>
        <w:pStyle w:val="ListBullet"/>
      </w:pPr>
      <w:r>
        <w:t>Executable three-check controller with unit tests and deterministic replay outputs.</w:t>
      </w:r>
    </w:p>
    <w:p>
      <w:pPr>
        <w:pStyle w:val="ListBullet"/>
      </w:pPr>
      <w:r>
        <w:t>One-check ablation CSV, precedence-sensitivity CSV, LLM self-evaluation baseline CSV/JSON outputs, and CSV/JSON summaries for overclaim handling, inappropriate denial, calibration, and check categories.</w:t>
      </w:r>
    </w:p>
    <w:p>
      <w:pPr>
        <w:pStyle w:val="Heading1"/>
      </w:pPr>
      <w:r>
        <w:t>Evidence-Boundary Framework</w:t>
      </w:r>
    </w:p>
    <w:p>
      <w:r>
        <w:t>The empirical workflow is pharmacogenomics, but the design pattern is broader: source support asks whether evidence exists and applies; population fit asks whether evidence transports to the target patient or population; and claim strength asks whether the evidence supports the displayed action rather than only a weaker association or surrogate endpoint.</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