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4D78"/>
          <w:sz w:val="38"/>
        </w:rPr>
        <w:t>Technical Supplement</w:t>
      </w:r>
    </w:p>
    <w:p>
      <w:pPr>
        <w:spacing w:after="80"/>
      </w:pPr>
      <w:r>
        <w:rPr>
          <w:rFonts w:ascii="Calibri" w:hAnsi="Calibri"/>
          <w:i/>
          <w:color w:val="555555"/>
          <w:sz w:val="23"/>
        </w:rPr>
        <w:t>Pruned PGx evidence-check case bank and reproducibility notes</w:t>
      </w:r>
    </w:p>
    <w:p>
      <w:pPr>
        <w:spacing w:after="240"/>
      </w:pPr>
      <w:r>
        <w:rPr>
          <w:rFonts w:ascii="Calibri" w:hAnsi="Calibri"/>
          <w:color w:val="555555"/>
          <w:sz w:val="19"/>
        </w:rPr>
        <w:t>Author: Ravi Bajaj | Course: AI in Healthcare</w:t>
      </w:r>
    </w:p>
    <w:p>
      <w:pPr>
        <w:pStyle w:val="Heading1"/>
      </w:pPr>
      <w:r>
        <w:t>Safety Boundary</w:t>
      </w:r>
    </w:p>
    <w:p>
      <w:pPr>
        <w:pStyle w:val="ListBullet"/>
        <w:spacing w:after="60"/>
      </w:pPr>
      <w:r>
        <w:rPr>
          <w:rFonts w:ascii="Calibri" w:hAnsi="Calibri"/>
        </w:rPr>
        <w:t>Synthetic-only research artifact.</w:t>
      </w:r>
    </w:p>
    <w:p>
      <w:pPr>
        <w:pStyle w:val="ListBullet"/>
        <w:spacing w:after="60"/>
      </w:pPr>
      <w:r>
        <w:rPr>
          <w:rFonts w:ascii="Calibri" w:hAnsi="Calibri"/>
        </w:rPr>
        <w:t>No real patient data or protected health information.</w:t>
      </w:r>
    </w:p>
    <w:p>
      <w:pPr>
        <w:pStyle w:val="ListBullet"/>
        <w:spacing w:after="60"/>
      </w:pPr>
      <w:r>
        <w:rPr>
          <w:rFonts w:ascii="Calibri" w:hAnsi="Calibri"/>
        </w:rPr>
        <w:t>No diagnosis or treatment recommendation.</w:t>
      </w:r>
    </w:p>
    <w:p>
      <w:pPr>
        <w:pStyle w:val="ListBullet"/>
        <w:spacing w:after="60"/>
      </w:pPr>
      <w:r>
        <w:rPr>
          <w:rFonts w:ascii="Calibri" w:hAnsi="Calibri"/>
        </w:rPr>
        <w:t>The controller evaluates claim permission levels, not patient care.</w:t>
      </w:r>
    </w:p>
    <w:p>
      <w:pPr>
        <w:pStyle w:val="ListBullet"/>
        <w:spacing w:after="60"/>
      </w:pPr>
      <w:r>
        <w:t>Stage 1 results are specification-conformance counts on author-designed synthetic archetypes, not independent safety, accuracy, or generalization. The deterministic controller consumes structured evidence annotations only; it does not parse free text. The optional LLM baseline sends those same synthetic annotations to GPT-5.6-terra and Grok-4.5 as self-evaluation comparators, not clinical adjudicators.</w:t>
      </w:r>
    </w:p>
    <w:p>
      <w:pPr>
        <w:pStyle w:val="Heading1"/>
      </w:pPr>
      <w:r>
        <w:t>Reproducibility</w:t>
      </w:r>
    </w:p>
    <w:p>
      <w:r>
        <w:rPr>
          <w:rFonts w:ascii="Calibri" w:hAnsi="Calibri"/>
        </w:rPr>
        <w:t>Run from the repository root:</w:t>
      </w:r>
    </w:p>
    <w:p>
      <w:r>
        <w:t>py -3.13 code\pruned_evidence_gate.py</w:t>
      </w:r>
    </w:p>
    <w:p>
      <w:r>
        <w:t>py -3.13 code\llm_self_evaluation_baseline.py</w:t>
      </w:r>
    </w:p>
    <w:p>
      <w:r>
        <w:t>py -3.13 -m pytest code -q</w:t>
      </w:r>
    </w:p>
    <w:p>
      <w:pPr>
        <w:pStyle w:val="Heading1"/>
      </w:pPr>
      <w:r>
        <w:t>Case Matrix</w:t>
      </w:r>
    </w:p>
    <w:p>
      <w:r>
        <w:t>The final case matrix contains 33 author-designed synthetic cases: 10 bounded aligned alerts and 23 designed overclaim archetypes. PGX31-PGX33 were added after review feedback to test whether each check changes at least one case: PGX31 and PGX33 are source-support-only failures, PGX32 is a population-fit-only failure, and six claim-strength-only cases remain in the bank. PGX19 and PGX24 are retained as precedence-sensitive cases where the action matches but the surfaced rationale changes under alternative governance orders.</w:t>
      </w:r>
    </w:p>
    <w:tbl>
      <w:tblPr>
        <w:tblStyle w:val="TableGrid"/>
        <w:tblW w:type="dxa" w:w="9360"/>
        <w:jc w:val="left"/>
        <w:tblLayout w:type="fixed"/>
        <w:tblLook w:firstColumn="1" w:firstRow="1" w:lastColumn="0" w:lastRow="0" w:noHBand="0" w:noVBand="1" w:val="04A0"/>
      </w:tblPr>
      <w:tblGrid>
        <w:gridCol w:w="900"/>
        <w:gridCol w:w="1900"/>
        <w:gridCol w:w="2600"/>
        <w:gridCol w:w="2500"/>
        <w:gridCol w:w="1460"/>
      </w:tblGrid>
      <w:tr>
        <w:tc>
          <w:tcPr>
            <w:tcW w:type="dxa" w:w="900"/>
            <w:vAlign w:val="center"/>
            <w:shd w:fill="F4F6F9"/>
          </w:tcPr>
          <w:p>
            <w:pPr>
              <w:spacing w:after="0"/>
            </w:pPr>
            <w:r/>
            <w:r>
              <w:rPr>
                <w:rFonts w:ascii="Calibri" w:hAnsi="Calibri"/>
                <w:b/>
                <w:color w:val="000000"/>
                <w:sz w:val="19"/>
              </w:rPr>
              <w:t>ID</w:t>
            </w:r>
          </w:p>
        </w:tc>
        <w:tc>
          <w:tcPr>
            <w:tcW w:type="dxa" w:w="1900"/>
            <w:vAlign w:val="center"/>
            <w:shd w:fill="F4F6F9"/>
          </w:tcPr>
          <w:p>
            <w:pPr>
              <w:spacing w:after="0"/>
            </w:pPr>
            <w:r/>
            <w:r>
              <w:rPr>
                <w:rFonts w:ascii="Calibri" w:hAnsi="Calibri"/>
                <w:b/>
                <w:color w:val="000000"/>
                <w:sz w:val="19"/>
              </w:rPr>
              <w:t>Drug-gene</w:t>
            </w:r>
          </w:p>
        </w:tc>
        <w:tc>
          <w:tcPr>
            <w:tcW w:type="dxa" w:w="2600"/>
            <w:vAlign w:val="center"/>
            <w:shd w:fill="F4F6F9"/>
          </w:tcPr>
          <w:p>
            <w:pPr>
              <w:spacing w:after="0"/>
            </w:pPr>
            <w:r/>
            <w:r>
              <w:rPr>
                <w:rFonts w:ascii="Calibri" w:hAnsi="Calibri"/>
                <w:b/>
                <w:color w:val="000000"/>
                <w:sz w:val="19"/>
              </w:rPr>
              <w:t>Action</w:t>
            </w:r>
          </w:p>
        </w:tc>
        <w:tc>
          <w:tcPr>
            <w:tcW w:type="dxa" w:w="2500"/>
            <w:vAlign w:val="center"/>
            <w:shd w:fill="F4F6F9"/>
          </w:tcPr>
          <w:p>
            <w:pPr>
              <w:spacing w:after="0"/>
            </w:pPr>
            <w:r/>
            <w:r>
              <w:rPr>
                <w:rFonts w:ascii="Calibri" w:hAnsi="Calibri"/>
                <w:b/>
                <w:color w:val="000000"/>
                <w:sz w:val="19"/>
              </w:rPr>
              <w:t>Primary check</w:t>
            </w:r>
          </w:p>
        </w:tc>
        <w:tc>
          <w:tcPr>
            <w:tcW w:type="dxa" w:w="1460"/>
            <w:vAlign w:val="center"/>
            <w:shd w:fill="F4F6F9"/>
          </w:tcPr>
          <w:p>
            <w:pPr>
              <w:spacing w:after="0"/>
            </w:pPr>
            <w:r/>
            <w:r>
              <w:rPr>
                <w:rFonts w:ascii="Calibri" w:hAnsi="Calibri"/>
                <w:b/>
                <w:color w:val="000000"/>
                <w:sz w:val="19"/>
              </w:rPr>
              <w:t>Overclaim</w:t>
            </w:r>
          </w:p>
        </w:tc>
      </w:tr>
      <w:tr>
        <w:tc>
          <w:tcPr>
            <w:tcW w:type="dxa" w:w="900"/>
          </w:tcPr>
          <w:p>
            <w:r>
              <w:t>PGX01</w:t>
            </w:r>
          </w:p>
        </w:tc>
        <w:tc>
          <w:tcPr>
            <w:tcW w:type="dxa" w:w="1900"/>
          </w:tcPr>
          <w:p>
            <w:r>
              <w:t>CYP2C19-clopidogrel</w:t>
            </w:r>
          </w:p>
        </w:tc>
        <w:tc>
          <w:tcPr>
            <w:tcW w:type="dxa" w:w="2600"/>
          </w:tcPr>
          <w:p>
            <w:r>
              <w:t>allow bounded alert</w:t>
            </w:r>
          </w:p>
        </w:tc>
        <w:tc>
          <w:tcPr>
            <w:tcW w:type="dxa" w:w="2500"/>
          </w:tcPr>
          <w:p>
            <w:r/>
            <w:r>
              <w:t>None</w:t>
            </w:r>
          </w:p>
        </w:tc>
        <w:tc>
          <w:tcPr>
            <w:tcW w:type="dxa" w:w="1460"/>
          </w:tcPr>
          <w:p>
            <w:r>
              <w:t>False</w:t>
            </w:r>
          </w:p>
        </w:tc>
      </w:tr>
      <w:tr>
        <w:tc>
          <w:tcPr>
            <w:tcW w:type="dxa" w:w="900"/>
          </w:tcPr>
          <w:p>
            <w:r>
              <w:t>PGX02</w:t>
            </w:r>
          </w:p>
        </w:tc>
        <w:tc>
          <w:tcPr>
            <w:tcW w:type="dxa" w:w="1900"/>
          </w:tcPr>
          <w:p>
            <w:r>
              <w:t>CYP2C19-clopidogrel</w:t>
            </w:r>
          </w:p>
        </w:tc>
        <w:tc>
          <w:tcPr>
            <w:tcW w:type="dxa" w:w="2600"/>
          </w:tcPr>
          <w:p>
            <w:r>
              <w:t>narrow claim</w:t>
            </w:r>
          </w:p>
        </w:tc>
        <w:tc>
          <w:tcPr>
            <w:tcW w:type="dxa" w:w="2500"/>
          </w:tcPr>
          <w:p>
            <w:r/>
            <w:r>
              <w:t>Claim strength</w:t>
            </w:r>
          </w:p>
        </w:tc>
        <w:tc>
          <w:tcPr>
            <w:tcW w:type="dxa" w:w="1460"/>
          </w:tcPr>
          <w:p>
            <w:r>
              <w:t>True</w:t>
            </w:r>
          </w:p>
        </w:tc>
      </w:tr>
      <w:tr>
        <w:tc>
          <w:tcPr>
            <w:tcW w:type="dxa" w:w="900"/>
          </w:tcPr>
          <w:p>
            <w:r>
              <w:t>PGX03</w:t>
            </w:r>
          </w:p>
        </w:tc>
        <w:tc>
          <w:tcPr>
            <w:tcW w:type="dxa" w:w="1900"/>
          </w:tcPr>
          <w:p>
            <w:r>
              <w:t>CYP2C19-clopidogrel</w:t>
            </w:r>
          </w:p>
        </w:tc>
        <w:tc>
          <w:tcPr>
            <w:tcW w:type="dxa" w:w="2600"/>
          </w:tcPr>
          <w:p>
            <w:r>
              <w:t>narrow claim</w:t>
            </w:r>
          </w:p>
        </w:tc>
        <w:tc>
          <w:tcPr>
            <w:tcW w:type="dxa" w:w="2500"/>
          </w:tcPr>
          <w:p>
            <w:r/>
            <w:r>
              <w:t>Claim strength</w:t>
            </w:r>
          </w:p>
        </w:tc>
        <w:tc>
          <w:tcPr>
            <w:tcW w:type="dxa" w:w="1460"/>
          </w:tcPr>
          <w:p>
            <w:r>
              <w:t>True</w:t>
            </w:r>
          </w:p>
        </w:tc>
      </w:tr>
      <w:tr>
        <w:tc>
          <w:tcPr>
            <w:tcW w:type="dxa" w:w="900"/>
          </w:tcPr>
          <w:p>
            <w:r>
              <w:t>PGX04</w:t>
            </w:r>
          </w:p>
        </w:tc>
        <w:tc>
          <w:tcPr>
            <w:tcW w:type="dxa" w:w="1900"/>
          </w:tcPr>
          <w:p>
            <w:r>
              <w:t>DPYD-fluoropyrimidines</w:t>
            </w:r>
          </w:p>
        </w:tc>
        <w:tc>
          <w:tcPr>
            <w:tcW w:type="dxa" w:w="2600"/>
          </w:tcPr>
          <w:p>
            <w:r>
              <w:t>allow bounded alert</w:t>
            </w:r>
          </w:p>
        </w:tc>
        <w:tc>
          <w:tcPr>
            <w:tcW w:type="dxa" w:w="2500"/>
          </w:tcPr>
          <w:p>
            <w:r/>
            <w:r>
              <w:t>None</w:t>
            </w:r>
          </w:p>
        </w:tc>
        <w:tc>
          <w:tcPr>
            <w:tcW w:type="dxa" w:w="1460"/>
          </w:tcPr>
          <w:p>
            <w:r>
              <w:t>False</w:t>
            </w:r>
          </w:p>
        </w:tc>
      </w:tr>
      <w:tr>
        <w:tc>
          <w:tcPr>
            <w:tcW w:type="dxa" w:w="900"/>
          </w:tcPr>
          <w:p>
            <w:r>
              <w:t>PGX05</w:t>
            </w:r>
          </w:p>
        </w:tc>
        <w:tc>
          <w:tcPr>
            <w:tcW w:type="dxa" w:w="1900"/>
          </w:tcPr>
          <w:p>
            <w:r>
              <w:t>DPYD-fluoropyrimidines</w:t>
            </w:r>
          </w:p>
        </w:tc>
        <w:tc>
          <w:tcPr>
            <w:tcW w:type="dxa" w:w="2600"/>
          </w:tcPr>
          <w:p>
            <w:r>
              <w:t>narrow claim</w:t>
            </w:r>
          </w:p>
        </w:tc>
        <w:tc>
          <w:tcPr>
            <w:tcW w:type="dxa" w:w="2500"/>
          </w:tcPr>
          <w:p>
            <w:r/>
            <w:r>
              <w:t>Claim strength</w:t>
            </w:r>
          </w:p>
        </w:tc>
        <w:tc>
          <w:tcPr>
            <w:tcW w:type="dxa" w:w="1460"/>
          </w:tcPr>
          <w:p>
            <w:r>
              <w:t>True</w:t>
            </w:r>
          </w:p>
        </w:tc>
      </w:tr>
      <w:tr>
        <w:tc>
          <w:tcPr>
            <w:tcW w:type="dxa" w:w="900"/>
          </w:tcPr>
          <w:p>
            <w:r>
              <w:t>PGX06</w:t>
            </w:r>
          </w:p>
        </w:tc>
        <w:tc>
          <w:tcPr>
            <w:tcW w:type="dxa" w:w="1900"/>
          </w:tcPr>
          <w:p>
            <w:r>
              <w:t>TPMT/NUDT15-thiopurines</w:t>
            </w:r>
          </w:p>
        </w:tc>
        <w:tc>
          <w:tcPr>
            <w:tcW w:type="dxa" w:w="2600"/>
          </w:tcPr>
          <w:p>
            <w:r>
              <w:t>allow bounded alert</w:t>
            </w:r>
          </w:p>
        </w:tc>
        <w:tc>
          <w:tcPr>
            <w:tcW w:type="dxa" w:w="2500"/>
          </w:tcPr>
          <w:p>
            <w:r/>
            <w:r>
              <w:t>None</w:t>
            </w:r>
          </w:p>
        </w:tc>
        <w:tc>
          <w:tcPr>
            <w:tcW w:type="dxa" w:w="1460"/>
          </w:tcPr>
          <w:p>
            <w:r>
              <w:t>False</w:t>
            </w:r>
          </w:p>
        </w:tc>
      </w:tr>
      <w:tr>
        <w:tc>
          <w:tcPr>
            <w:tcW w:type="dxa" w:w="900"/>
          </w:tcPr>
          <w:p>
            <w:r>
              <w:t>PGX07</w:t>
            </w:r>
          </w:p>
        </w:tc>
        <w:tc>
          <w:tcPr>
            <w:tcW w:type="dxa" w:w="1900"/>
          </w:tcPr>
          <w:p>
            <w:r>
              <w:t>TPMT/NUDT15-thiopurines</w:t>
            </w:r>
          </w:p>
        </w:tc>
        <w:tc>
          <w:tcPr>
            <w:tcW w:type="dxa" w:w="2600"/>
          </w:tcPr>
          <w:p>
            <w:r>
              <w:t>deny unsupported action</w:t>
            </w:r>
          </w:p>
        </w:tc>
        <w:tc>
          <w:tcPr>
            <w:tcW w:type="dxa" w:w="2500"/>
          </w:tcPr>
          <w:p>
            <w:r/>
            <w:r>
              <w:t>Claim strength</w:t>
            </w:r>
          </w:p>
        </w:tc>
        <w:tc>
          <w:tcPr>
            <w:tcW w:type="dxa" w:w="1460"/>
          </w:tcPr>
          <w:p>
            <w:r>
              <w:t>True</w:t>
            </w:r>
          </w:p>
        </w:tc>
      </w:tr>
      <w:tr>
        <w:tc>
          <w:tcPr>
            <w:tcW w:type="dxa" w:w="900"/>
          </w:tcPr>
          <w:p>
            <w:r>
              <w:t>PGX08</w:t>
            </w:r>
          </w:p>
        </w:tc>
        <w:tc>
          <w:tcPr>
            <w:tcW w:type="dxa" w:w="1900"/>
          </w:tcPr>
          <w:p>
            <w:r>
              <w:t>HLA-B*57:01-abacavir</w:t>
            </w:r>
          </w:p>
        </w:tc>
        <w:tc>
          <w:tcPr>
            <w:tcW w:type="dxa" w:w="2600"/>
          </w:tcPr>
          <w:p>
            <w:r>
              <w:t>allow bounded alert</w:t>
            </w:r>
          </w:p>
        </w:tc>
        <w:tc>
          <w:tcPr>
            <w:tcW w:type="dxa" w:w="2500"/>
          </w:tcPr>
          <w:p>
            <w:r/>
            <w:r>
              <w:t>None</w:t>
            </w:r>
          </w:p>
        </w:tc>
        <w:tc>
          <w:tcPr>
            <w:tcW w:type="dxa" w:w="1460"/>
          </w:tcPr>
          <w:p>
            <w:r>
              <w:t>False</w:t>
            </w:r>
          </w:p>
        </w:tc>
      </w:tr>
      <w:tr>
        <w:tc>
          <w:tcPr>
            <w:tcW w:type="dxa" w:w="900"/>
          </w:tcPr>
          <w:p>
            <w:r>
              <w:t>PGX09</w:t>
            </w:r>
          </w:p>
        </w:tc>
        <w:tc>
          <w:tcPr>
            <w:tcW w:type="dxa" w:w="1900"/>
          </w:tcPr>
          <w:p>
            <w:r>
              <w:t>HLA-B*15:02-carbamazepine</w:t>
            </w:r>
          </w:p>
        </w:tc>
        <w:tc>
          <w:tcPr>
            <w:tcW w:type="dxa" w:w="2600"/>
          </w:tcPr>
          <w:p>
            <w:r>
              <w:t>allow bounded alert</w:t>
            </w:r>
          </w:p>
        </w:tc>
        <w:tc>
          <w:tcPr>
            <w:tcW w:type="dxa" w:w="2500"/>
          </w:tcPr>
          <w:p>
            <w:r/>
            <w:r>
              <w:t>None</w:t>
            </w:r>
          </w:p>
        </w:tc>
        <w:tc>
          <w:tcPr>
            <w:tcW w:type="dxa" w:w="1460"/>
          </w:tcPr>
          <w:p>
            <w:r>
              <w:t>False</w:t>
            </w:r>
          </w:p>
        </w:tc>
      </w:tr>
      <w:tr>
        <w:tc>
          <w:tcPr>
            <w:tcW w:type="dxa" w:w="900"/>
          </w:tcPr>
          <w:p>
            <w:r>
              <w:t>PGX10</w:t>
            </w:r>
          </w:p>
        </w:tc>
        <w:tc>
          <w:tcPr>
            <w:tcW w:type="dxa" w:w="1900"/>
          </w:tcPr>
          <w:p>
            <w:r>
              <w:t>HLA-B*15:02-carbamazepine</w:t>
            </w:r>
          </w:p>
        </w:tc>
        <w:tc>
          <w:tcPr>
            <w:tcW w:type="dxa" w:w="2600"/>
          </w:tcPr>
          <w:p>
            <w:r>
              <w:t>abstain for population fit</w:t>
            </w:r>
          </w:p>
        </w:tc>
        <w:tc>
          <w:tcPr>
            <w:tcW w:type="dxa" w:w="2500"/>
          </w:tcPr>
          <w:p>
            <w:r/>
            <w:r>
              <w:t>Population fit</w:t>
            </w:r>
          </w:p>
        </w:tc>
        <w:tc>
          <w:tcPr>
            <w:tcW w:type="dxa" w:w="1460"/>
          </w:tcPr>
          <w:p>
            <w:r>
              <w:t>True</w:t>
            </w:r>
          </w:p>
        </w:tc>
      </w:tr>
      <w:tr>
        <w:tc>
          <w:tcPr>
            <w:tcW w:type="dxa" w:w="900"/>
          </w:tcPr>
          <w:p>
            <w:r>
              <w:t>PGX11</w:t>
            </w:r>
          </w:p>
        </w:tc>
        <w:tc>
          <w:tcPr>
            <w:tcW w:type="dxa" w:w="1900"/>
          </w:tcPr>
          <w:p>
            <w:r>
              <w:t>CYP2D6-codeine</w:t>
            </w:r>
          </w:p>
        </w:tc>
        <w:tc>
          <w:tcPr>
            <w:tcW w:type="dxa" w:w="2600"/>
          </w:tcPr>
          <w:p>
            <w:r>
              <w:t>allow bounded alert</w:t>
            </w:r>
          </w:p>
        </w:tc>
        <w:tc>
          <w:tcPr>
            <w:tcW w:type="dxa" w:w="2500"/>
          </w:tcPr>
          <w:p>
            <w:r/>
            <w:r>
              <w:t>None</w:t>
            </w:r>
          </w:p>
        </w:tc>
        <w:tc>
          <w:tcPr>
            <w:tcW w:type="dxa" w:w="1460"/>
          </w:tcPr>
          <w:p>
            <w:r>
              <w:t>False</w:t>
            </w:r>
          </w:p>
        </w:tc>
      </w:tr>
      <w:tr>
        <w:tc>
          <w:tcPr>
            <w:tcW w:type="dxa" w:w="900"/>
          </w:tcPr>
          <w:p>
            <w:r>
              <w:t>PGX12</w:t>
            </w:r>
          </w:p>
        </w:tc>
        <w:tc>
          <w:tcPr>
            <w:tcW w:type="dxa" w:w="1900"/>
          </w:tcPr>
          <w:p>
            <w:r>
              <w:t>CYP2D6-opioids</w:t>
            </w:r>
          </w:p>
        </w:tc>
        <w:tc>
          <w:tcPr>
            <w:tcW w:type="dxa" w:w="2600"/>
          </w:tcPr>
          <w:p>
            <w:r>
              <w:t>deny unsupported action</w:t>
            </w:r>
          </w:p>
        </w:tc>
        <w:tc>
          <w:tcPr>
            <w:tcW w:type="dxa" w:w="2500"/>
          </w:tcPr>
          <w:p>
            <w:r/>
            <w:r>
              <w:t>Source support</w:t>
            </w:r>
          </w:p>
        </w:tc>
        <w:tc>
          <w:tcPr>
            <w:tcW w:type="dxa" w:w="1460"/>
          </w:tcPr>
          <w:p>
            <w:r>
              <w:t>True</w:t>
            </w:r>
          </w:p>
        </w:tc>
      </w:tr>
      <w:tr>
        <w:tc>
          <w:tcPr>
            <w:tcW w:type="dxa" w:w="900"/>
          </w:tcPr>
          <w:p>
            <w:r>
              <w:t>PGX13</w:t>
            </w:r>
          </w:p>
        </w:tc>
        <w:tc>
          <w:tcPr>
            <w:tcW w:type="dxa" w:w="1900"/>
          </w:tcPr>
          <w:p>
            <w:r>
              <w:t>CYP2D6-tramadol</w:t>
            </w:r>
          </w:p>
        </w:tc>
        <w:tc>
          <w:tcPr>
            <w:tcW w:type="dxa" w:w="2600"/>
          </w:tcPr>
          <w:p>
            <w:r>
              <w:t>narrow claim</w:t>
            </w:r>
          </w:p>
        </w:tc>
        <w:tc>
          <w:tcPr>
            <w:tcW w:type="dxa" w:w="2500"/>
          </w:tcPr>
          <w:p>
            <w:r/>
            <w:r>
              <w:t>Claim strength</w:t>
            </w:r>
          </w:p>
        </w:tc>
        <w:tc>
          <w:tcPr>
            <w:tcW w:type="dxa" w:w="1460"/>
          </w:tcPr>
          <w:p>
            <w:r>
              <w:t>True</w:t>
            </w:r>
          </w:p>
        </w:tc>
      </w:tr>
      <w:tr>
        <w:tc>
          <w:tcPr>
            <w:tcW w:type="dxa" w:w="900"/>
          </w:tcPr>
          <w:p>
            <w:r>
              <w:t>PGX14</w:t>
            </w:r>
          </w:p>
        </w:tc>
        <w:tc>
          <w:tcPr>
            <w:tcW w:type="dxa" w:w="1900"/>
          </w:tcPr>
          <w:p>
            <w:r>
              <w:t>SLCO1B1-simvastatin</w:t>
            </w:r>
          </w:p>
        </w:tc>
        <w:tc>
          <w:tcPr>
            <w:tcW w:type="dxa" w:w="2600"/>
          </w:tcPr>
          <w:p>
            <w:r>
              <w:t>allow bounded alert</w:t>
            </w:r>
          </w:p>
        </w:tc>
        <w:tc>
          <w:tcPr>
            <w:tcW w:type="dxa" w:w="2500"/>
          </w:tcPr>
          <w:p>
            <w:r/>
            <w:r>
              <w:t>None</w:t>
            </w:r>
          </w:p>
        </w:tc>
        <w:tc>
          <w:tcPr>
            <w:tcW w:type="dxa" w:w="1460"/>
          </w:tcPr>
          <w:p>
            <w:r>
              <w:t>False</w:t>
            </w:r>
          </w:p>
        </w:tc>
      </w:tr>
      <w:tr>
        <w:tc>
          <w:tcPr>
            <w:tcW w:type="dxa" w:w="900"/>
          </w:tcPr>
          <w:p>
            <w:r>
              <w:t>PGX15</w:t>
            </w:r>
          </w:p>
        </w:tc>
        <w:tc>
          <w:tcPr>
            <w:tcW w:type="dxa" w:w="1900"/>
          </w:tcPr>
          <w:p>
            <w:r>
              <w:t>CYP2C9/VKORC1-warfarin</w:t>
            </w:r>
          </w:p>
        </w:tc>
        <w:tc>
          <w:tcPr>
            <w:tcW w:type="dxa" w:w="2600"/>
          </w:tcPr>
          <w:p>
            <w:r>
              <w:t>narrow claim</w:t>
            </w:r>
          </w:p>
        </w:tc>
        <w:tc>
          <w:tcPr>
            <w:tcW w:type="dxa" w:w="2500"/>
          </w:tcPr>
          <w:p>
            <w:r/>
            <w:r>
              <w:t>Claim strength</w:t>
            </w:r>
          </w:p>
        </w:tc>
        <w:tc>
          <w:tcPr>
            <w:tcW w:type="dxa" w:w="1460"/>
          </w:tcPr>
          <w:p>
            <w:r>
              <w:t>True</w:t>
            </w:r>
          </w:p>
        </w:tc>
      </w:tr>
      <w:tr>
        <w:tc>
          <w:tcPr>
            <w:tcW w:type="dxa" w:w="900"/>
          </w:tcPr>
          <w:p>
            <w:r>
              <w:t>PGX16</w:t>
            </w:r>
          </w:p>
        </w:tc>
        <w:tc>
          <w:tcPr>
            <w:tcW w:type="dxa" w:w="1900"/>
          </w:tcPr>
          <w:p>
            <w:r>
              <w:t>UGT1A1-irinotecan</w:t>
            </w:r>
          </w:p>
        </w:tc>
        <w:tc>
          <w:tcPr>
            <w:tcW w:type="dxa" w:w="2600"/>
          </w:tcPr>
          <w:p>
            <w:r>
              <w:t>allow bounded alert</w:t>
            </w:r>
          </w:p>
        </w:tc>
        <w:tc>
          <w:tcPr>
            <w:tcW w:type="dxa" w:w="2500"/>
          </w:tcPr>
          <w:p>
            <w:r/>
            <w:r>
              <w:t>None</w:t>
            </w:r>
          </w:p>
        </w:tc>
        <w:tc>
          <w:tcPr>
            <w:tcW w:type="dxa" w:w="1460"/>
          </w:tcPr>
          <w:p>
            <w:r>
              <w:t>False</w:t>
            </w:r>
          </w:p>
        </w:tc>
      </w:tr>
      <w:tr>
        <w:tc>
          <w:tcPr>
            <w:tcW w:type="dxa" w:w="900"/>
          </w:tcPr>
          <w:p>
            <w:r>
              <w:t>PGX17</w:t>
            </w:r>
          </w:p>
        </w:tc>
        <w:tc>
          <w:tcPr>
            <w:tcW w:type="dxa" w:w="1900"/>
          </w:tcPr>
          <w:p>
            <w:r>
              <w:t>MTHFR-folate</w:t>
            </w:r>
          </w:p>
        </w:tc>
        <w:tc>
          <w:tcPr>
            <w:tcW w:type="dxa" w:w="2600"/>
          </w:tcPr>
          <w:p>
            <w:r>
              <w:t>deny unsupported action</w:t>
            </w:r>
          </w:p>
        </w:tc>
        <w:tc>
          <w:tcPr>
            <w:tcW w:type="dxa" w:w="2500"/>
          </w:tcPr>
          <w:p>
            <w:r/>
            <w:r>
              <w:t>Source support</w:t>
            </w:r>
          </w:p>
        </w:tc>
        <w:tc>
          <w:tcPr>
            <w:tcW w:type="dxa" w:w="1460"/>
          </w:tcPr>
          <w:p>
            <w:r>
              <w:t>True</w:t>
            </w:r>
          </w:p>
        </w:tc>
      </w:tr>
      <w:tr>
        <w:tc>
          <w:tcPr>
            <w:tcW w:type="dxa" w:w="900"/>
          </w:tcPr>
          <w:p>
            <w:r>
              <w:t>PGX18</w:t>
            </w:r>
          </w:p>
        </w:tc>
        <w:tc>
          <w:tcPr>
            <w:tcW w:type="dxa" w:w="1900"/>
          </w:tcPr>
          <w:p>
            <w:r>
              <w:t>COMT-psychiatric medication</w:t>
            </w:r>
          </w:p>
        </w:tc>
        <w:tc>
          <w:tcPr>
            <w:tcW w:type="dxa" w:w="2600"/>
          </w:tcPr>
          <w:p>
            <w:r>
              <w:t>deny unsupported action</w:t>
            </w:r>
          </w:p>
        </w:tc>
        <w:tc>
          <w:tcPr>
            <w:tcW w:type="dxa" w:w="2500"/>
          </w:tcPr>
          <w:p>
            <w:r/>
            <w:r>
              <w:t>Source support</w:t>
            </w:r>
          </w:p>
        </w:tc>
        <w:tc>
          <w:tcPr>
            <w:tcW w:type="dxa" w:w="1460"/>
          </w:tcPr>
          <w:p>
            <w:r>
              <w:t>True</w:t>
            </w:r>
          </w:p>
        </w:tc>
      </w:tr>
      <w:tr>
        <w:tc>
          <w:tcPr>
            <w:tcW w:type="dxa" w:w="900"/>
          </w:tcPr>
          <w:p>
            <w:r>
              <w:t>PGX19</w:t>
            </w:r>
          </w:p>
        </w:tc>
        <w:tc>
          <w:tcPr>
            <w:tcW w:type="dxa" w:w="1900"/>
          </w:tcPr>
          <w:p>
            <w:r>
              <w:t>APOE-dementia risk</w:t>
            </w:r>
          </w:p>
        </w:tc>
        <w:tc>
          <w:tcPr>
            <w:tcW w:type="dxa" w:w="2600"/>
          </w:tcPr>
          <w:p>
            <w:r>
              <w:t>deny unsupported action</w:t>
            </w:r>
          </w:p>
        </w:tc>
        <w:tc>
          <w:tcPr>
            <w:tcW w:type="dxa" w:w="2500"/>
          </w:tcPr>
          <w:p>
            <w:r/>
            <w:r>
              <w:t>Source support</w:t>
            </w:r>
          </w:p>
        </w:tc>
        <w:tc>
          <w:tcPr>
            <w:tcW w:type="dxa" w:w="1460"/>
          </w:tcPr>
          <w:p>
            <w:r>
              <w:t>True</w:t>
            </w:r>
          </w:p>
        </w:tc>
      </w:tr>
      <w:tr>
        <w:tc>
          <w:tcPr>
            <w:tcW w:type="dxa" w:w="900"/>
          </w:tcPr>
          <w:p>
            <w:r>
              <w:t>PGX20</w:t>
            </w:r>
          </w:p>
        </w:tc>
        <w:tc>
          <w:tcPr>
            <w:tcW w:type="dxa" w:w="1900"/>
          </w:tcPr>
          <w:p>
            <w:r>
              <w:t>RYR1/CACNA1S-anesthesia</w:t>
            </w:r>
          </w:p>
        </w:tc>
        <w:tc>
          <w:tcPr>
            <w:tcW w:type="dxa" w:w="2600"/>
          </w:tcPr>
          <w:p>
            <w:r>
              <w:t>allow bounded alert</w:t>
            </w:r>
          </w:p>
        </w:tc>
        <w:tc>
          <w:tcPr>
            <w:tcW w:type="dxa" w:w="2500"/>
          </w:tcPr>
          <w:p>
            <w:r/>
            <w:r>
              <w:t>None</w:t>
            </w:r>
          </w:p>
        </w:tc>
        <w:tc>
          <w:tcPr>
            <w:tcW w:type="dxa" w:w="1460"/>
          </w:tcPr>
          <w:p>
            <w:r>
              <w:t>False</w:t>
            </w:r>
          </w:p>
        </w:tc>
      </w:tr>
      <w:tr>
        <w:tc>
          <w:tcPr>
            <w:tcW w:type="dxa" w:w="900"/>
          </w:tcPr>
          <w:p>
            <w:r>
              <w:t>PGX21</w:t>
            </w:r>
          </w:p>
        </w:tc>
        <w:tc>
          <w:tcPr>
            <w:tcW w:type="dxa" w:w="1900"/>
          </w:tcPr>
          <w:p>
            <w:r>
              <w:t>G6PD-oxidant drugs</w:t>
            </w:r>
          </w:p>
        </w:tc>
        <w:tc>
          <w:tcPr>
            <w:tcW w:type="dxa" w:w="2600"/>
          </w:tcPr>
          <w:p>
            <w:r>
              <w:t>allow bounded alert</w:t>
            </w:r>
          </w:p>
        </w:tc>
        <w:tc>
          <w:tcPr>
            <w:tcW w:type="dxa" w:w="2500"/>
          </w:tcPr>
          <w:p>
            <w:r/>
            <w:r>
              <w:t>None</w:t>
            </w:r>
          </w:p>
        </w:tc>
        <w:tc>
          <w:tcPr>
            <w:tcW w:type="dxa" w:w="1460"/>
          </w:tcPr>
          <w:p>
            <w:r>
              <w:t>False</w:t>
            </w:r>
          </w:p>
        </w:tc>
      </w:tr>
      <w:tr>
        <w:tc>
          <w:tcPr>
            <w:tcW w:type="dxa" w:w="900"/>
          </w:tcPr>
          <w:p>
            <w:r>
              <w:t>PGX22</w:t>
            </w:r>
          </w:p>
        </w:tc>
        <w:tc>
          <w:tcPr>
            <w:tcW w:type="dxa" w:w="1900"/>
          </w:tcPr>
          <w:p>
            <w:r>
              <w:t>IFNL3-hepatitis C</w:t>
            </w:r>
          </w:p>
        </w:tc>
        <w:tc>
          <w:tcPr>
            <w:tcW w:type="dxa" w:w="2600"/>
          </w:tcPr>
          <w:p>
            <w:r>
              <w:t>abstain for source support</w:t>
            </w:r>
          </w:p>
        </w:tc>
        <w:tc>
          <w:tcPr>
            <w:tcW w:type="dxa" w:w="2500"/>
          </w:tcPr>
          <w:p>
            <w:r/>
            <w:r>
              <w:t>Source support</w:t>
            </w:r>
          </w:p>
        </w:tc>
        <w:tc>
          <w:tcPr>
            <w:tcW w:type="dxa" w:w="1460"/>
          </w:tcPr>
          <w:p>
            <w:r>
              <w:t>True</w:t>
            </w:r>
          </w:p>
        </w:tc>
      </w:tr>
      <w:tr>
        <w:tc>
          <w:tcPr>
            <w:tcW w:type="dxa" w:w="900"/>
          </w:tcPr>
          <w:p>
            <w:r>
              <w:t>PGX23</w:t>
            </w:r>
          </w:p>
        </w:tc>
        <w:tc>
          <w:tcPr>
            <w:tcW w:type="dxa" w:w="1900"/>
          </w:tcPr>
          <w:p>
            <w:r>
              <w:t>ACE-fitness</w:t>
            </w:r>
          </w:p>
        </w:tc>
        <w:tc>
          <w:tcPr>
            <w:tcW w:type="dxa" w:w="2600"/>
          </w:tcPr>
          <w:p>
            <w:r>
              <w:t>deny unsupported action</w:t>
            </w:r>
          </w:p>
        </w:tc>
        <w:tc>
          <w:tcPr>
            <w:tcW w:type="dxa" w:w="2500"/>
          </w:tcPr>
          <w:p>
            <w:r/>
            <w:r>
              <w:t>Source support</w:t>
            </w:r>
          </w:p>
        </w:tc>
        <w:tc>
          <w:tcPr>
            <w:tcW w:type="dxa" w:w="1460"/>
          </w:tcPr>
          <w:p>
            <w:r>
              <w:t>True</w:t>
            </w:r>
          </w:p>
        </w:tc>
      </w:tr>
      <w:tr>
        <w:tc>
          <w:tcPr>
            <w:tcW w:type="dxa" w:w="900"/>
          </w:tcPr>
          <w:p>
            <w:r>
              <w:t>PGX24</w:t>
            </w:r>
          </w:p>
        </w:tc>
        <w:tc>
          <w:tcPr>
            <w:tcW w:type="dxa" w:w="1900"/>
          </w:tcPr>
          <w:p>
            <w:r>
              <w:t>Polygenic addiction liability</w:t>
            </w:r>
          </w:p>
        </w:tc>
        <w:tc>
          <w:tcPr>
            <w:tcW w:type="dxa" w:w="2600"/>
          </w:tcPr>
          <w:p>
            <w:r>
              <w:t>deny unsupported action</w:t>
            </w:r>
          </w:p>
        </w:tc>
        <w:tc>
          <w:tcPr>
            <w:tcW w:type="dxa" w:w="2500"/>
          </w:tcPr>
          <w:p>
            <w:r/>
            <w:r>
              <w:t>Source support</w:t>
            </w:r>
          </w:p>
        </w:tc>
        <w:tc>
          <w:tcPr>
            <w:tcW w:type="dxa" w:w="1460"/>
          </w:tcPr>
          <w:p>
            <w:r>
              <w:t>True</w:t>
            </w:r>
          </w:p>
        </w:tc>
      </w:tr>
      <w:tr>
        <w:tc>
          <w:tcPr>
            <w:tcW w:type="dxa" w:w="900"/>
          </w:tcPr>
          <w:p>
            <w:r>
              <w:t>PGX25</w:t>
            </w:r>
          </w:p>
        </w:tc>
        <w:tc>
          <w:tcPr>
            <w:tcW w:type="dxa" w:w="1900"/>
          </w:tcPr>
          <w:p>
            <w:r>
              <w:t>Genome India population transport</w:t>
            </w:r>
          </w:p>
        </w:tc>
        <w:tc>
          <w:tcPr>
            <w:tcW w:type="dxa" w:w="2600"/>
          </w:tcPr>
          <w:p>
            <w:r>
              <w:t>abstain for population fit</w:t>
            </w:r>
          </w:p>
        </w:tc>
        <w:tc>
          <w:tcPr>
            <w:tcW w:type="dxa" w:w="2500"/>
          </w:tcPr>
          <w:p>
            <w:r/>
            <w:r>
              <w:t>Population fit</w:t>
            </w:r>
          </w:p>
        </w:tc>
        <w:tc>
          <w:tcPr>
            <w:tcW w:type="dxa" w:w="1460"/>
          </w:tcPr>
          <w:p>
            <w:r>
              <w:t>True</w:t>
            </w:r>
          </w:p>
        </w:tc>
      </w:tr>
      <w:tr>
        <w:tc>
          <w:tcPr>
            <w:tcW w:type="dxa" w:w="900"/>
          </w:tcPr>
          <w:p>
            <w:r>
              <w:t>PGX26</w:t>
            </w:r>
          </w:p>
        </w:tc>
        <w:tc>
          <w:tcPr>
            <w:tcW w:type="dxa" w:w="1900"/>
          </w:tcPr>
          <w:p>
            <w:r>
              <w:t>Israel founder-variant transport</w:t>
            </w:r>
          </w:p>
        </w:tc>
        <w:tc>
          <w:tcPr>
            <w:tcW w:type="dxa" w:w="2600"/>
          </w:tcPr>
          <w:p>
            <w:r>
              <w:t>abstain for population fit</w:t>
            </w:r>
          </w:p>
        </w:tc>
        <w:tc>
          <w:tcPr>
            <w:tcW w:type="dxa" w:w="2500"/>
          </w:tcPr>
          <w:p>
            <w:r/>
            <w:r>
              <w:t>Population fit</w:t>
            </w:r>
          </w:p>
        </w:tc>
        <w:tc>
          <w:tcPr>
            <w:tcW w:type="dxa" w:w="1460"/>
          </w:tcPr>
          <w:p>
            <w:r>
              <w:t>True</w:t>
            </w:r>
          </w:p>
        </w:tc>
      </w:tr>
      <w:tr>
        <w:tc>
          <w:tcPr>
            <w:tcW w:type="dxa" w:w="900"/>
          </w:tcPr>
          <w:p>
            <w:r>
              <w:t>PGX27</w:t>
            </w:r>
          </w:p>
        </w:tc>
        <w:tc>
          <w:tcPr>
            <w:tcW w:type="dxa" w:w="1900"/>
          </w:tcPr>
          <w:p>
            <w:r>
              <w:t>All of Us / TOPMed transport</w:t>
            </w:r>
          </w:p>
        </w:tc>
        <w:tc>
          <w:tcPr>
            <w:tcW w:type="dxa" w:w="2600"/>
          </w:tcPr>
          <w:p>
            <w:r>
              <w:t>abstain for population fit</w:t>
            </w:r>
          </w:p>
        </w:tc>
        <w:tc>
          <w:tcPr>
            <w:tcW w:type="dxa" w:w="2500"/>
          </w:tcPr>
          <w:p>
            <w:r/>
            <w:r>
              <w:t>Population fit</w:t>
            </w:r>
          </w:p>
        </w:tc>
        <w:tc>
          <w:tcPr>
            <w:tcW w:type="dxa" w:w="1460"/>
          </w:tcPr>
          <w:p>
            <w:r>
              <w:t>True</w:t>
            </w:r>
          </w:p>
        </w:tc>
      </w:tr>
      <w:tr>
        <w:tc>
          <w:tcPr>
            <w:tcW w:type="dxa" w:w="900"/>
          </w:tcPr>
          <w:p>
            <w:r>
              <w:t>PGX28</w:t>
            </w:r>
          </w:p>
        </w:tc>
        <w:tc>
          <w:tcPr>
            <w:tcW w:type="dxa" w:w="1900"/>
          </w:tcPr>
          <w:p>
            <w:r>
              <w:t>ClinVar VUS</w:t>
            </w:r>
          </w:p>
        </w:tc>
        <w:tc>
          <w:tcPr>
            <w:tcW w:type="dxa" w:w="2600"/>
          </w:tcPr>
          <w:p>
            <w:r>
              <w:t>abstain for source support</w:t>
            </w:r>
          </w:p>
        </w:tc>
        <w:tc>
          <w:tcPr>
            <w:tcW w:type="dxa" w:w="2500"/>
          </w:tcPr>
          <w:p>
            <w:r/>
            <w:r>
              <w:t>Source support</w:t>
            </w:r>
          </w:p>
        </w:tc>
        <w:tc>
          <w:tcPr>
            <w:tcW w:type="dxa" w:w="1460"/>
          </w:tcPr>
          <w:p>
            <w:r>
              <w:t>True</w:t>
            </w:r>
          </w:p>
        </w:tc>
      </w:tr>
      <w:tr>
        <w:tc>
          <w:tcPr>
            <w:tcW w:type="dxa" w:w="900"/>
          </w:tcPr>
          <w:p>
            <w:r>
              <w:t>PGX29</w:t>
            </w:r>
          </w:p>
        </w:tc>
        <w:tc>
          <w:tcPr>
            <w:tcW w:type="dxa" w:w="1900"/>
          </w:tcPr>
          <w:p>
            <w:r>
              <w:t>ClinVar conflicting submissions</w:t>
            </w:r>
          </w:p>
        </w:tc>
        <w:tc>
          <w:tcPr>
            <w:tcW w:type="dxa" w:w="2600"/>
          </w:tcPr>
          <w:p>
            <w:r>
              <w:t>abstain for source support</w:t>
            </w:r>
          </w:p>
        </w:tc>
        <w:tc>
          <w:tcPr>
            <w:tcW w:type="dxa" w:w="2500"/>
          </w:tcPr>
          <w:p>
            <w:r/>
            <w:r>
              <w:t>Source support</w:t>
            </w:r>
          </w:p>
        </w:tc>
        <w:tc>
          <w:tcPr>
            <w:tcW w:type="dxa" w:w="1460"/>
          </w:tcPr>
          <w:p>
            <w:r>
              <w:t>True</w:t>
            </w:r>
          </w:p>
        </w:tc>
      </w:tr>
      <w:tr>
        <w:tc>
          <w:tcPr>
            <w:tcW w:type="dxa" w:w="900"/>
          </w:tcPr>
          <w:p>
            <w:r>
              <w:t>PGX30</w:t>
            </w:r>
          </w:p>
        </w:tc>
        <w:tc>
          <w:tcPr>
            <w:tcW w:type="dxa" w:w="1900"/>
          </w:tcPr>
          <w:p>
            <w:r>
              <w:t>Fabricated guideline citation</w:t>
            </w:r>
          </w:p>
        </w:tc>
        <w:tc>
          <w:tcPr>
            <w:tcW w:type="dxa" w:w="2600"/>
          </w:tcPr>
          <w:p>
            <w:r>
              <w:t>deny unverifiable source</w:t>
            </w:r>
          </w:p>
        </w:tc>
        <w:tc>
          <w:tcPr>
            <w:tcW w:type="dxa" w:w="2500"/>
          </w:tcPr>
          <w:p>
            <w:r/>
            <w:r>
              <w:t>Source support</w:t>
            </w:r>
          </w:p>
        </w:tc>
        <w:tc>
          <w:tcPr>
            <w:tcW w:type="dxa" w:w="1460"/>
          </w:tcPr>
          <w:p>
            <w:r>
              <w:t>True</w:t>
            </w:r>
          </w:p>
        </w:tc>
      </w:tr>
      <w:tr>
        <w:tc>
          <w:tcPr>
            <w:tcW w:type="dxa" w:w="900"/>
          </w:tcPr>
          <w:p>
            <w:r>
              <w:t>PGX31</w:t>
            </w:r>
          </w:p>
        </w:tc>
        <w:tc>
          <w:tcPr>
            <w:tcW w:type="dxa" w:w="1900"/>
          </w:tcPr>
          <w:p>
            <w:r>
              <w:t>CYP2C19-clopidogrel fabricated guideline</w:t>
            </w:r>
          </w:p>
        </w:tc>
        <w:tc>
          <w:tcPr>
            <w:tcW w:type="dxa" w:w="2600"/>
          </w:tcPr>
          <w:p>
            <w:r>
              <w:t>deny unverifiable source</w:t>
            </w:r>
          </w:p>
        </w:tc>
        <w:tc>
          <w:tcPr>
            <w:tcW w:type="dxa" w:w="2500"/>
          </w:tcPr>
          <w:p>
            <w:r/>
            <w:r>
              <w:t>Source support</w:t>
            </w:r>
          </w:p>
        </w:tc>
        <w:tc>
          <w:tcPr>
            <w:tcW w:type="dxa" w:w="1460"/>
          </w:tcPr>
          <w:p>
            <w:r>
              <w:t>True</w:t>
            </w:r>
          </w:p>
        </w:tc>
      </w:tr>
      <w:tr>
        <w:tc>
          <w:tcPr>
            <w:tcW w:type="dxa" w:w="900"/>
          </w:tcPr>
          <w:p>
            <w:r>
              <w:t>PGX32</w:t>
            </w:r>
          </w:p>
        </w:tc>
        <w:tc>
          <w:tcPr>
            <w:tcW w:type="dxa" w:w="1900"/>
          </w:tcPr>
          <w:p>
            <w:r>
              <w:t>DPYD population transport</w:t>
            </w:r>
          </w:p>
        </w:tc>
        <w:tc>
          <w:tcPr>
            <w:tcW w:type="dxa" w:w="2600"/>
          </w:tcPr>
          <w:p>
            <w:r>
              <w:t>abstain for population fit</w:t>
            </w:r>
          </w:p>
        </w:tc>
        <w:tc>
          <w:tcPr>
            <w:tcW w:type="dxa" w:w="2500"/>
          </w:tcPr>
          <w:p>
            <w:r/>
            <w:r>
              <w:t>Population fit</w:t>
            </w:r>
          </w:p>
        </w:tc>
        <w:tc>
          <w:tcPr>
            <w:tcW w:type="dxa" w:w="1460"/>
          </w:tcPr>
          <w:p>
            <w:r>
              <w:t>True</w:t>
            </w:r>
          </w:p>
        </w:tc>
      </w:tr>
      <w:tr>
        <w:tc>
          <w:tcPr>
            <w:tcW w:type="dxa" w:w="900"/>
          </w:tcPr>
          <w:p>
            <w:r>
              <w:t>PGX33</w:t>
            </w:r>
          </w:p>
        </w:tc>
        <w:tc>
          <w:tcPr>
            <w:tcW w:type="dxa" w:w="1900"/>
          </w:tcPr>
          <w:p>
            <w:r>
              <w:t>IFNL3 stale guideline citation</w:t>
            </w:r>
          </w:p>
        </w:tc>
        <w:tc>
          <w:tcPr>
            <w:tcW w:type="dxa" w:w="2600"/>
          </w:tcPr>
          <w:p>
            <w:r>
              <w:t>abstain for source support</w:t>
            </w:r>
          </w:p>
        </w:tc>
        <w:tc>
          <w:tcPr>
            <w:tcW w:type="dxa" w:w="2500"/>
          </w:tcPr>
          <w:p>
            <w:r/>
            <w:r>
              <w:t>Source support</w:t>
            </w:r>
          </w:p>
        </w:tc>
        <w:tc>
          <w:tcPr>
            <w:tcW w:type="dxa" w:w="1460"/>
          </w:tcPr>
          <w:p>
            <w:r>
              <w:t>True</w:t>
            </w:r>
          </w:p>
        </w:tc>
      </w:tr>
    </w:tbl>
    <w:p>
      <w:pPr>
        <w:spacing w:after="40"/>
      </w:pPr>
    </w:p>
    <w:p>
      <w:pPr>
        <w:pStyle w:val="Heading1"/>
      </w:pPr>
      <w:r>
        <w:t>Metric Snapshot</w:t>
      </w:r>
    </w:p>
    <w:tbl>
      <w:tblPr>
        <w:tblStyle w:val="TableGrid"/>
        <w:tblW w:type="dxa" w:w="9360"/>
        <w:jc w:val="left"/>
        <w:tblLayout w:type="fixed"/>
        <w:tblLook w:firstColumn="1" w:firstRow="1" w:lastColumn="0" w:lastRow="0" w:noHBand="0" w:noVBand="1" w:val="04A0"/>
      </w:tblPr>
      <w:tblGrid>
        <w:gridCol w:w="3500"/>
        <w:gridCol w:w="5860"/>
      </w:tblGrid>
      <w:tr>
        <w:tc>
          <w:tcPr>
            <w:tcW w:type="dxa" w:w="3500"/>
            <w:vAlign w:val="center"/>
            <w:shd w:fill="F4F6F9"/>
          </w:tcPr>
          <w:p>
            <w:pPr>
              <w:spacing w:after="0"/>
            </w:pPr>
            <w:r/>
            <w:r>
              <w:rPr>
                <w:rFonts w:ascii="Calibri" w:hAnsi="Calibri"/>
                <w:b/>
                <w:color w:val="000000"/>
                <w:sz w:val="19"/>
              </w:rPr>
              <w:t>Metric</w:t>
            </w:r>
          </w:p>
        </w:tc>
        <w:tc>
          <w:tcPr>
            <w:tcW w:type="dxa" w:w="5860"/>
            <w:vAlign w:val="center"/>
            <w:shd w:fill="F4F6F9"/>
          </w:tcPr>
          <w:p>
            <w:pPr>
              <w:spacing w:after="0"/>
            </w:pPr>
            <w:r/>
            <w:r>
              <w:rPr>
                <w:rFonts w:ascii="Calibri" w:hAnsi="Calibri"/>
                <w:b/>
                <w:color w:val="000000"/>
                <w:sz w:val="19"/>
              </w:rPr>
              <w:t>Value</w:t>
            </w:r>
          </w:p>
        </w:tc>
      </w:tr>
      <w:tr>
        <w:tc>
          <w:tcPr>
            <w:tcW w:type="dxa" w:w="3500"/>
            <w:vAlign w:val="center"/>
          </w:tcPr>
          <w:p>
            <w:r>
              <w:t>Case count</w:t>
            </w:r>
          </w:p>
        </w:tc>
        <w:tc>
          <w:tcPr>
            <w:tcW w:type="dxa" w:w="5860"/>
            <w:vAlign w:val="center"/>
          </w:tcPr>
          <w:p>
            <w:r>
              <w:t>33</w:t>
            </w:r>
          </w:p>
        </w:tc>
      </w:tr>
      <w:tr>
        <w:tc>
          <w:tcPr>
            <w:tcW w:type="dxa" w:w="3500"/>
            <w:vAlign w:val="center"/>
          </w:tcPr>
          <w:p>
            <w:r>
              <w:t>Author-designed overclaim cases</w:t>
            </w:r>
          </w:p>
        </w:tc>
        <w:tc>
          <w:tcPr>
            <w:tcW w:type="dxa" w:w="5860"/>
            <w:vAlign w:val="center"/>
          </w:tcPr>
          <w:p>
            <w:r>
              <w:t>23</w:t>
            </w:r>
          </w:p>
        </w:tc>
      </w:tr>
      <w:tr>
        <w:tc>
          <w:tcPr>
            <w:tcW w:type="dxa" w:w="3500"/>
            <w:vAlign w:val="center"/>
          </w:tcPr>
          <w:p>
            <w:r>
              <w:t>Overclaim archetypes allowed unchanged</w:t>
            </w:r>
          </w:p>
        </w:tc>
        <w:tc>
          <w:tcPr>
            <w:tcW w:type="dxa" w:w="5860"/>
            <w:vAlign w:val="center"/>
          </w:tcPr>
          <w:p>
            <w:r>
              <w:t>0/23</w:t>
            </w:r>
          </w:p>
        </w:tc>
      </w:tr>
      <w:tr>
        <w:tc>
          <w:tcPr>
            <w:tcW w:type="dxa" w:w="3500"/>
            <w:vAlign w:val="center"/>
          </w:tcPr>
          <w:p>
            <w:r>
              <w:t>Designed overclaim archetypes intercepted</w:t>
            </w:r>
          </w:p>
        </w:tc>
        <w:tc>
          <w:tcPr>
            <w:tcW w:type="dxa" w:w="5860"/>
            <w:vAlign w:val="center"/>
          </w:tcPr>
          <w:p>
            <w:r>
              <w:t>23/23</w:t>
            </w:r>
          </w:p>
        </w:tc>
      </w:tr>
      <w:tr>
        <w:tc>
          <w:tcPr>
            <w:tcW w:type="dxa" w:w="3500"/>
            <w:vAlign w:val="center"/>
          </w:tcPr>
          <w:p>
            <w:r>
              <w:t>Bounded alerts allowed</w:t>
            </w:r>
          </w:p>
        </w:tc>
        <w:tc>
          <w:tcPr>
            <w:tcW w:type="dxa" w:w="5860"/>
            <w:vAlign w:val="center"/>
          </w:tcPr>
          <w:p>
            <w:r>
              <w:t>10/10</w:t>
            </w:r>
          </w:p>
        </w:tc>
      </w:tr>
      <w:tr>
        <w:tc>
          <w:tcPr>
            <w:tcW w:type="dxa" w:w="3500"/>
            <w:vAlign w:val="center"/>
          </w:tcPr>
          <w:p>
            <w:r>
              <w:t>Inappropriate denial count</w:t>
            </w:r>
          </w:p>
        </w:tc>
        <w:tc>
          <w:tcPr>
            <w:tcW w:type="dxa" w:w="5860"/>
            <w:vAlign w:val="center"/>
          </w:tcPr>
          <w:p>
            <w:r>
              <w:t>0</w:t>
            </w:r>
          </w:p>
        </w:tc>
      </w:tr>
      <w:tr>
        <w:tc>
          <w:tcPr>
            <w:tcW w:type="dxa" w:w="3500"/>
            <w:vAlign w:val="center"/>
          </w:tcPr>
          <w:p>
            <w:r>
              <w:t>Action conformance rate</w:t>
            </w:r>
          </w:p>
        </w:tc>
        <w:tc>
          <w:tcPr>
            <w:tcW w:type="dxa" w:w="5860"/>
            <w:vAlign w:val="center"/>
          </w:tcPr>
          <w:p>
            <w:r>
              <w:t>1.000</w:t>
            </w:r>
          </w:p>
        </w:tc>
      </w:tr>
      <w:tr>
        <w:tc>
          <w:tcPr>
            <w:tcW w:type="dxa" w:w="3500"/>
          </w:tcPr>
          <w:p>
            <w:r>
              <w:t>Primary-check conformance rate</w:t>
            </w:r>
          </w:p>
        </w:tc>
        <w:tc>
          <w:tcPr>
            <w:tcW w:type="dxa" w:w="5860"/>
          </w:tcPr>
          <w:p>
            <w:r>
              <w:t>0.939</w:t>
            </w:r>
          </w:p>
        </w:tc>
      </w:tr>
      <w:tr>
        <w:tc>
          <w:tcPr>
            <w:tcW w:type="dxa" w:w="3500"/>
          </w:tcPr>
          <w:p>
            <w:r>
              <w:t>Precedence-sensitive cases</w:t>
            </w:r>
          </w:p>
        </w:tc>
        <w:tc>
          <w:tcPr>
            <w:tcW w:type="dxa" w:w="5860"/>
          </w:tcPr>
          <w:p>
            <w:r>
              <w:t>PGX19; PGX24</w:t>
            </w:r>
          </w:p>
        </w:tc>
      </w:tr>
    </w:tbl>
    <w:p>
      <w:pPr>
        <w:spacing w:after="40"/>
      </w:pPr>
    </w:p>
    <w:p>
      <w:pPr>
        <w:pStyle w:val="Heading1"/>
      </w:pPr>
      <w:r>
        <w:t>Check Ablation Snapshot</w:t>
      </w:r>
    </w:p>
    <w:p>
      <w:r>
        <w:t>One-check ablations disable exactly one check. PGX31 and PGX33 isolate source support, PGX32 isolates population fit, and six claim-strength-only cases isolate claim strength. Disabling the three checks lets 2/23, 1/23, and 6/23 designed overclaims through unchanged, respectively. Counts remain synthetic diagnostics, not clinical utility estimates.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tcPr>
          <w:p>
            <w:pPr>
              <w:jc w:val="center"/>
            </w:pPr>
            <w:r>
              <w:rPr>
                <w:b/>
                <w:sz w:val="16"/>
              </w:rPr>
              <w:t>Disabled check</w:t>
            </w:r>
          </w:p>
        </w:tc>
        <w:tc>
          <w:tcPr>
            <w:tcW w:type="dxa" w:w="2448"/>
          </w:tcPr>
          <w:p>
            <w:pPr>
              <w:jc w:val="center"/>
            </w:pPr>
            <w:r>
              <w:rPr>
                <w:b/>
                <w:sz w:val="16"/>
              </w:rPr>
              <w:t>Overclaims allowed unchanged</w:t>
            </w:r>
          </w:p>
        </w:tc>
        <w:tc>
          <w:tcPr>
            <w:tcW w:type="dxa" w:w="2448"/>
          </w:tcPr>
          <w:p>
            <w:pPr>
              <w:jc w:val="center"/>
            </w:pPr>
            <w:r>
              <w:rPr>
                <w:b/>
                <w:sz w:val="16"/>
              </w:rPr>
              <w:t>Action changes</w:t>
            </w:r>
          </w:p>
        </w:tc>
        <w:tc>
          <w:tcPr>
            <w:tcW w:type="dxa" w:w="2448"/>
          </w:tcPr>
          <w:p>
            <w:pPr>
              <w:jc w:val="center"/>
            </w:pPr>
            <w:r>
              <w:rPr>
                <w:b/>
                <w:sz w:val="16"/>
              </w:rPr>
              <w:t>Primary-check changes</w:t>
            </w:r>
          </w:p>
        </w:tc>
      </w:tr>
      <w:tr>
        <w:tc>
          <w:tcPr>
            <w:tcW w:type="dxa" w:w="2448"/>
            <w:vAlign w:val="center"/>
          </w:tcPr>
          <w:p>
            <w:pPr>
              <w:jc w:val="left"/>
            </w:pPr>
            <w:r>
              <w:rPr>
                <w:sz w:val="16"/>
              </w:rPr>
              <w:t>Source support</w:t>
            </w:r>
          </w:p>
        </w:tc>
        <w:tc>
          <w:tcPr>
            <w:tcW w:type="dxa" w:w="2448"/>
            <w:vAlign w:val="center"/>
          </w:tcPr>
          <w:p>
            <w:pPr>
              <w:jc w:val="center"/>
            </w:pPr>
            <w:r>
              <w:rPr>
                <w:sz w:val="16"/>
              </w:rPr>
              <w:t>2</w:t>
            </w:r>
          </w:p>
        </w:tc>
        <w:tc>
          <w:tcPr>
            <w:tcW w:type="dxa" w:w="2448"/>
            <w:vAlign w:val="center"/>
          </w:tcPr>
          <w:p>
            <w:pPr>
              <w:jc w:val="center"/>
            </w:pPr>
            <w:r>
              <w:rPr>
                <w:sz w:val="16"/>
              </w:rPr>
              <w:t>7</w:t>
            </w:r>
          </w:p>
        </w:tc>
        <w:tc>
          <w:tcPr>
            <w:tcW w:type="dxa" w:w="2448"/>
            <w:vAlign w:val="center"/>
          </w:tcPr>
          <w:p>
            <w:pPr>
              <w:jc w:val="center"/>
            </w:pPr>
            <w:r>
              <w:rPr>
                <w:sz w:val="16"/>
              </w:rPr>
              <w:t>12</w:t>
            </w:r>
          </w:p>
        </w:tc>
      </w:tr>
      <w:tr>
        <w:tc>
          <w:tcPr>
            <w:tcW w:type="dxa" w:w="2448"/>
            <w:vAlign w:val="center"/>
          </w:tcPr>
          <w:p>
            <w:pPr>
              <w:jc w:val="left"/>
            </w:pPr>
            <w:r>
              <w:rPr>
                <w:sz w:val="16"/>
              </w:rPr>
              <w:t>Population fit</w:t>
            </w:r>
          </w:p>
        </w:tc>
        <w:tc>
          <w:tcPr>
            <w:tcW w:type="dxa" w:w="2448"/>
            <w:vAlign w:val="center"/>
          </w:tcPr>
          <w:p>
            <w:pPr>
              <w:jc w:val="center"/>
            </w:pPr>
            <w:r>
              <w:rPr>
                <w:sz w:val="16"/>
              </w:rPr>
              <w:t>1</w:t>
            </w:r>
          </w:p>
        </w:tc>
        <w:tc>
          <w:tcPr>
            <w:tcW w:type="dxa" w:w="2448"/>
            <w:vAlign w:val="center"/>
          </w:tcPr>
          <w:p>
            <w:pPr>
              <w:jc w:val="center"/>
            </w:pPr>
            <w:r>
              <w:rPr>
                <w:sz w:val="16"/>
              </w:rPr>
              <w:t>5</w:t>
            </w:r>
          </w:p>
        </w:tc>
        <w:tc>
          <w:tcPr>
            <w:tcW w:type="dxa" w:w="2448"/>
            <w:vAlign w:val="center"/>
          </w:tcPr>
          <w:p>
            <w:pPr>
              <w:jc w:val="center"/>
            </w:pPr>
            <w:r>
              <w:rPr>
                <w:sz w:val="16"/>
              </w:rPr>
              <w:t>5</w:t>
            </w:r>
          </w:p>
        </w:tc>
      </w:tr>
      <w:tr>
        <w:tc>
          <w:tcPr>
            <w:tcW w:type="dxa" w:w="2448"/>
            <w:vAlign w:val="center"/>
          </w:tcPr>
          <w:p>
            <w:pPr>
              <w:jc w:val="left"/>
            </w:pPr>
            <w:r>
              <w:rPr>
                <w:sz w:val="16"/>
              </w:rPr>
              <w:t>Claim strength</w:t>
            </w:r>
          </w:p>
        </w:tc>
        <w:tc>
          <w:tcPr>
            <w:tcW w:type="dxa" w:w="2448"/>
            <w:vAlign w:val="center"/>
          </w:tcPr>
          <w:p>
            <w:pPr>
              <w:jc w:val="center"/>
            </w:pPr>
            <w:r>
              <w:rPr>
                <w:sz w:val="16"/>
              </w:rPr>
              <w:t>6</w:t>
            </w:r>
          </w:p>
        </w:tc>
        <w:tc>
          <w:tcPr>
            <w:tcW w:type="dxa" w:w="2448"/>
            <w:vAlign w:val="center"/>
          </w:tcPr>
          <w:p>
            <w:pPr>
              <w:jc w:val="center"/>
            </w:pPr>
            <w:r>
              <w:rPr>
                <w:sz w:val="16"/>
              </w:rPr>
              <w:t>6</w:t>
            </w:r>
          </w:p>
        </w:tc>
        <w:tc>
          <w:tcPr>
            <w:tcW w:type="dxa" w:w="2448"/>
            <w:vAlign w:val="center"/>
          </w:tcPr>
          <w:p>
            <w:pPr>
              <w:jc w:val="center"/>
            </w:pPr>
            <w:r>
              <w:rPr>
                <w:sz w:val="16"/>
              </w:rPr>
              <w:t>6</w:t>
            </w:r>
          </w:p>
        </w:tc>
      </w:tr>
    </w:tbl>
    <w:p>
      <w:pPr>
        <w:pStyle w:val="Heading1"/>
      </w:pPr>
      <w:r>
        <w:t>LLM Self-Evaluation Baseline</w:t>
      </w:r>
    </w:p>
    <w:p>
      <w:r>
        <w:t>Two frontier LLMs were prompted to classify the same 33 synthetic structured annotations without seeing the deterministic rule table. Both were conservative on this task, routing all designed overclaims and allowing all bounded alerts, but they differed from the deterministic monitor on selected action or rationale choices.</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r>
              <w:t>Model</w:t>
            </w:r>
          </w:p>
        </w:tc>
        <w:tc>
          <w:tcPr>
            <w:tcW w:type="dxa" w:w="1958"/>
          </w:tcPr>
          <w:p>
            <w:r>
              <w:t>Overclaims routed</w:t>
            </w:r>
          </w:p>
        </w:tc>
        <w:tc>
          <w:tcPr>
            <w:tcW w:type="dxa" w:w="1958"/>
          </w:tcPr>
          <w:p>
            <w:r>
              <w:t>Bounded allowed</w:t>
            </w:r>
          </w:p>
        </w:tc>
        <w:tc>
          <w:tcPr>
            <w:tcW w:type="dxa" w:w="1958"/>
          </w:tcPr>
          <w:p>
            <w:r>
              <w:t>Action agreement</w:t>
            </w:r>
          </w:p>
        </w:tc>
        <w:tc>
          <w:tcPr>
            <w:tcW w:type="dxa" w:w="1958"/>
          </w:tcPr>
          <w:p>
            <w:r>
              <w:t>Check agreement</w:t>
            </w:r>
          </w:p>
        </w:tc>
      </w:tr>
      <w:tr>
        <w:tc>
          <w:tcPr>
            <w:tcW w:type="dxa" w:w="1958"/>
          </w:tcPr>
          <w:p>
            <w:r>
              <w:t>GPT-5.6-terra</w:t>
            </w:r>
          </w:p>
        </w:tc>
        <w:tc>
          <w:tcPr>
            <w:tcW w:type="dxa" w:w="1958"/>
          </w:tcPr>
          <w:p>
            <w:r>
              <w:t>23/23</w:t>
            </w:r>
          </w:p>
        </w:tc>
        <w:tc>
          <w:tcPr>
            <w:tcW w:type="dxa" w:w="1958"/>
          </w:tcPr>
          <w:p>
            <w:r>
              <w:t>10/10</w:t>
            </w:r>
          </w:p>
        </w:tc>
        <w:tc>
          <w:tcPr>
            <w:tcW w:type="dxa" w:w="1958"/>
          </w:tcPr>
          <w:p>
            <w:r>
              <w:t>31/33</w:t>
            </w:r>
          </w:p>
        </w:tc>
        <w:tc>
          <w:tcPr>
            <w:tcW w:type="dxa" w:w="1958"/>
          </w:tcPr>
          <w:p>
            <w:r>
              <w:t>25/33</w:t>
            </w:r>
          </w:p>
        </w:tc>
      </w:tr>
      <w:tr>
        <w:tc>
          <w:tcPr>
            <w:tcW w:type="dxa" w:w="1958"/>
          </w:tcPr>
          <w:p>
            <w:r>
              <w:t>Grok-4.5</w:t>
            </w:r>
          </w:p>
        </w:tc>
        <w:tc>
          <w:tcPr>
            <w:tcW w:type="dxa" w:w="1958"/>
          </w:tcPr>
          <w:p>
            <w:r>
              <w:t>23/23</w:t>
            </w:r>
          </w:p>
        </w:tc>
        <w:tc>
          <w:tcPr>
            <w:tcW w:type="dxa" w:w="1958"/>
          </w:tcPr>
          <w:p>
            <w:r>
              <w:t>10/10</w:t>
            </w:r>
          </w:p>
        </w:tc>
        <w:tc>
          <w:tcPr>
            <w:tcW w:type="dxa" w:w="1958"/>
          </w:tcPr>
          <w:p>
            <w:r>
              <w:t>31/33</w:t>
            </w:r>
          </w:p>
        </w:tc>
        <w:tc>
          <w:tcPr>
            <w:tcW w:type="dxa" w:w="1958"/>
          </w:tcPr>
          <w:p>
            <w:r>
              <w:t>32/33</w:t>
            </w:r>
          </w:p>
        </w:tc>
      </w:tr>
    </w:tbl>
    <w:p>
      <w:pPr>
        <w:pStyle w:val="Heading1"/>
      </w:pPr>
      <w:r>
        <w:t>Precedence Sensitivity</w:t>
      </w:r>
    </w:p>
    <w:p>
      <w:r>
        <w:t>PGX24 demonstrates why precedence is a governance design choice. The same synthetic case can surface source support, population transport, or claim-strength concerns depending on which check is given priority.</w:t>
      </w:r>
    </w:p>
    <w:tbl>
      <w:tblPr>
        <w:tblStyle w:val="TableGrid"/>
        <w:tblW w:type="auto" w:w="0"/>
        <w:tblLook w:firstColumn="1" w:firstRow="1" w:lastColumn="0" w:lastRow="0" w:noHBand="0" w:noVBand="1" w:val="04A0"/>
      </w:tblPr>
      <w:tblGrid>
        <w:gridCol w:w="3264"/>
        <w:gridCol w:w="3264"/>
        <w:gridCol w:w="3264"/>
      </w:tblGrid>
      <w:tr>
        <w:tc>
          <w:tcPr>
            <w:tcW w:type="dxa" w:w="3264"/>
          </w:tcPr>
          <w:p>
            <w:r>
              <w:t>First check</w:t>
            </w:r>
          </w:p>
        </w:tc>
        <w:tc>
          <w:tcPr>
            <w:tcW w:type="dxa" w:w="3264"/>
          </w:tcPr>
          <w:p>
            <w:r>
              <w:t>Action</w:t>
            </w:r>
          </w:p>
        </w:tc>
        <w:tc>
          <w:tcPr>
            <w:tcW w:type="dxa" w:w="3264"/>
          </w:tcPr>
          <w:p>
            <w:r>
              <w:t>Surfaced explanation</w:t>
            </w:r>
          </w:p>
        </w:tc>
      </w:tr>
      <w:tr>
        <w:tc>
          <w:tcPr>
            <w:tcW w:type="dxa" w:w="3264"/>
          </w:tcPr>
          <w:p>
            <w:r>
              <w:t>Source support</w:t>
            </w:r>
          </w:p>
        </w:tc>
        <w:tc>
          <w:tcPr>
            <w:tcW w:type="dxa" w:w="3264"/>
          </w:tcPr>
          <w:p>
            <w:r>
              <w:t>Deny</w:t>
            </w:r>
          </w:p>
        </w:tc>
        <w:tc>
          <w:tcPr>
            <w:tcW w:type="dxa" w:w="3264"/>
          </w:tcPr>
          <w:p>
            <w:r>
              <w:t>Source support absent</w:t>
            </w:r>
          </w:p>
        </w:tc>
      </w:tr>
      <w:tr>
        <w:tc>
          <w:tcPr>
            <w:tcW w:type="dxa" w:w="3264"/>
          </w:tcPr>
          <w:p>
            <w:r>
              <w:t>Population fit</w:t>
            </w:r>
          </w:p>
        </w:tc>
        <w:tc>
          <w:tcPr>
            <w:tcW w:type="dxa" w:w="3264"/>
          </w:tcPr>
          <w:p>
            <w:r>
              <w:t>Abstain</w:t>
            </w:r>
          </w:p>
        </w:tc>
        <w:tc>
          <w:tcPr>
            <w:tcW w:type="dxa" w:w="3264"/>
          </w:tcPr>
          <w:p>
            <w:r>
              <w:t>Population transport mismatch</w:t>
            </w:r>
          </w:p>
        </w:tc>
      </w:tr>
      <w:tr>
        <w:tc>
          <w:tcPr>
            <w:tcW w:type="dxa" w:w="3264"/>
          </w:tcPr>
          <w:p>
            <w:r>
              <w:t>Claim strength</w:t>
            </w:r>
          </w:p>
        </w:tc>
        <w:tc>
          <w:tcPr>
            <w:tcW w:type="dxa" w:w="3264"/>
          </w:tcPr>
          <w:p>
            <w:r>
              <w:t>Deny</w:t>
            </w:r>
          </w:p>
        </w:tc>
        <w:tc>
          <w:tcPr>
            <w:tcW w:type="dxa" w:w="3264"/>
          </w:tcPr>
          <w:p>
            <w:r>
              <w:t>Medication action unsupported</w:t>
            </w:r>
          </w:p>
        </w:tc>
      </w:tr>
    </w:tbl>
    <w:p>
      <w:pPr>
        <w:pStyle w:val="Heading1"/>
      </w:pPr>
      <w:r>
        <w:t>Evidence-Boundary Framework</w:t>
      </w:r>
    </w:p>
    <w:p>
      <w:r>
        <w:t>The PGx workflow instantiates a general clinical LLM-alert pattern: source support, population fit, and claim strength. CPIC/clopidogrel and DPYD/fluoropyrimidine examples are concrete cases of this pattern, not the full scope of possible use.</w:t>
      </w:r>
    </w:p>
    <w:tbl>
      <w:tblPr>
        <w:tblStyle w:val="TableGrid"/>
        <w:tblW w:type="auto" w:w="0"/>
        <w:tblLook w:firstColumn="1" w:firstRow="1" w:lastColumn="0" w:lastRow="0" w:noHBand="0" w:noVBand="1" w:val="04A0"/>
      </w:tblPr>
      <w:tblGrid>
        <w:gridCol w:w="3264"/>
        <w:gridCol w:w="3264"/>
        <w:gridCol w:w="3264"/>
      </w:tblGrid>
      <w:tr>
        <w:tc>
          <w:tcPr>
            <w:tcW w:type="dxa" w:w="3264"/>
          </w:tcPr>
          <w:p>
            <w:r>
              <w:t>Boundary</w:t>
            </w:r>
          </w:p>
        </w:tc>
        <w:tc>
          <w:tcPr>
            <w:tcW w:type="dxa" w:w="3264"/>
          </w:tcPr>
          <w:p>
            <w:r>
              <w:t>Question</w:t>
            </w:r>
          </w:p>
        </w:tc>
        <w:tc>
          <w:tcPr>
            <w:tcW w:type="dxa" w:w="3264"/>
          </w:tcPr>
          <w:p>
            <w:r>
              <w:t>Failure mode</w:t>
            </w:r>
          </w:p>
        </w:tc>
      </w:tr>
      <w:tr>
        <w:tc>
          <w:tcPr>
            <w:tcW w:type="dxa" w:w="3264"/>
          </w:tcPr>
          <w:p>
            <w:r>
              <w:t>Source support</w:t>
            </w:r>
          </w:p>
        </w:tc>
        <w:tc>
          <w:tcPr>
            <w:tcW w:type="dxa" w:w="3264"/>
          </w:tcPr>
          <w:p>
            <w:r>
              <w:t>Does the evidence exist and apply?</w:t>
            </w:r>
          </w:p>
        </w:tc>
        <w:tc>
          <w:tcPr>
            <w:tcW w:type="dxa" w:w="3264"/>
          </w:tcPr>
          <w:p>
            <w:r>
              <w:t>Hallucinated, absent, or outdated citation</w:t>
            </w:r>
          </w:p>
        </w:tc>
      </w:tr>
      <w:tr>
        <w:tc>
          <w:tcPr>
            <w:tcW w:type="dxa" w:w="3264"/>
          </w:tcPr>
          <w:p>
            <w:r>
              <w:t>Population fit</w:t>
            </w:r>
          </w:p>
        </w:tc>
        <w:tc>
          <w:tcPr>
            <w:tcW w:type="dxa" w:w="3264"/>
          </w:tcPr>
          <w:p>
            <w:r>
              <w:t>Does the evidence fit this patient or population?</w:t>
            </w:r>
          </w:p>
        </w:tc>
        <w:tc>
          <w:tcPr>
            <w:tcW w:type="dxa" w:w="3264"/>
          </w:tcPr>
          <w:p>
            <w:r>
              <w:t>Transportability failure</w:t>
            </w:r>
          </w:p>
        </w:tc>
      </w:tr>
      <w:tr>
        <w:tc>
          <w:tcPr>
            <w:tcW w:type="dxa" w:w="3264"/>
          </w:tcPr>
          <w:p>
            <w:r>
              <w:t>Claim strength</w:t>
            </w:r>
          </w:p>
        </w:tc>
        <w:tc>
          <w:tcPr>
            <w:tcW w:type="dxa" w:w="3264"/>
          </w:tcPr>
          <w:p>
            <w:r>
              <w:t>Does the evidence support the action?</w:t>
            </w:r>
          </w:p>
        </w:tc>
        <w:tc>
          <w:tcPr>
            <w:tcW w:type="dxa" w:w="3264"/>
          </w:tcPr>
          <w:p>
            <w:r>
              <w:t>Surrogate or association overreach</w:t>
            </w:r>
          </w:p>
        </w:tc>
      </w:tr>
    </w:tbl>
    <w:sectPr w:rsidR="00FC693F" w:rsidRPr="0006063C" w:rsidSect="00034616">
      <w:footerReference w:type="default" r:id="rId9"/>
      <w:pgSz w:w="12240" w:h="15840"/>
      <w:pgMar w:top="1008" w:right="1224" w:bottom="792" w:left="1224" w:header="648"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7"/>
      </w:rPr>
      <w:t>Ravi Bajaj - Technical Supplement - August 8,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