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38"/>
        </w:rPr>
        <w:t>Research Proposal</w:t>
      </w:r>
    </w:p>
    <w:p>
      <w:pPr>
        <w:spacing w:after="80"/>
      </w:pPr>
      <w:r>
        <w:rPr>
          <w:rFonts w:ascii="Calibri" w:hAnsi="Calibri"/>
          <w:i/>
          <w:color w:val="555555"/>
          <w:sz w:val="23"/>
        </w:rPr>
        <w:t>Evidence-Gated Medical LLM Alerts for Pharmacogenomic Claims</w:t>
      </w:r>
    </w:p>
    <w:p>
      <w:pPr>
        <w:spacing w:after="240"/>
      </w:pPr>
      <w:r>
        <w:rPr>
          <w:rFonts w:ascii="Calibri" w:hAnsi="Calibri"/>
          <w:color w:val="555555"/>
          <w:sz w:val="19"/>
        </w:rPr>
        <w:t>Author: Ravi Bajaj | Target venue: ML4H 2026 | Course: AI in Healthcare</w:t>
      </w:r>
    </w:p>
    <w:p>
      <w:r>
        <w:rPr>
          <w:rFonts w:ascii="Calibri" w:hAnsi="Calibri"/>
          <w:b/>
        </w:rPr>
        <w:t>Thesis:</w:t>
      </w:r>
      <w:r>
        <w:rPr>
          <w:rFonts w:ascii="Calibri" w:hAnsi="Calibri"/>
        </w:rPr>
        <w:t xml:space="preserve"> The capstone is now deliberately pruned. It studies one clinically interpretable workflow: LLM-drafted pharmacogenomic or genomic medication-alert text. The evaluation asks whether a pre-display evidence gate reduces overclaiming relative to guideline-supported evidence without inappropriately denying bounded, aligned alerts.</w:t>
      </w:r>
    </w:p>
    <w:p>
      <w:pPr>
        <w:pStyle w:val="Heading1"/>
      </w:pPr>
      <w:r>
        <w:t>Problem Statement</w:t>
      </w:r>
    </w:p>
    <w:p>
      <w:r>
        <w:rPr>
          <w:rFonts w:ascii="Calibri" w:hAnsi="Calibri"/>
        </w:rPr>
        <w:t>Medical LLMs can sound authoritative even when the evidence only supports a narrower statement. In pharmacogenomics this matters because a real guideline, a verified citation, a population-frequency result, or a variant assertion may support a medication-safety note without proving broad patient-outcome benefit, universal population transport, or deterministic action.</w:t>
      </w:r>
    </w:p>
    <w:p>
      <w:pPr>
        <w:pStyle w:val="Heading1"/>
      </w:pPr>
      <w:r>
        <w:t>Hypothesis</w:t>
      </w:r>
    </w:p>
    <w:p>
      <w:r>
        <w:rPr>
          <w:rFonts w:ascii="Calibri" w:hAnsi="Calibri"/>
        </w:rPr>
        <w:t>Compared with ungated LLM alert text, a three-gate controller will reduce evidence overclaiming while tracking inappropriate denial. The supported claim is construct validity, not clinical utility: Stage 1 tests whether the gate enforces the intended evidence grammar on synthetic cases.</w:t>
      </w:r>
    </w:p>
    <w:p>
      <w:pPr>
        <w:pStyle w:val="Heading1"/>
      </w:pPr>
      <w:r>
        <w:t>Methods</w:t>
      </w:r>
    </w:p>
    <w:p>
      <w:pPr>
        <w:pStyle w:val="ListBullet"/>
        <w:spacing w:after="60"/>
      </w:pPr>
      <w:r>
        <w:rPr>
          <w:rFonts w:ascii="Calibri" w:hAnsi="Calibri"/>
        </w:rPr>
        <w:t>Workflow: pharmacogenomic/genomic medication-alert text, including medication-gene pairs and variant assertions relevant to prescribing or safety review.</w:t>
      </w:r>
    </w:p>
    <w:p>
      <w:pPr>
        <w:pStyle w:val="ListBullet"/>
        <w:spacing w:after="60"/>
      </w:pPr>
      <w:r>
        <w:rPr>
          <w:rFonts w:ascii="Calibri" w:hAnsi="Calibri"/>
        </w:rPr>
        <w:t>Gates: endpoint/actionability, population fit, and citation/guideline support.</w:t>
      </w:r>
    </w:p>
    <w:p>
      <w:pPr>
        <w:pStyle w:val="ListBullet"/>
        <w:spacing w:after="60"/>
      </w:pPr>
      <w:r>
        <w:rPr>
          <w:rFonts w:ascii="Calibri" w:hAnsi="Calibri"/>
        </w:rPr>
        <w:t>Stage 1: 30 synthetic cases with expected decisions; executable controller reports overclaim detection, specificity for aligned alerts, inappropriate denial, Brier score, and error categories.</w:t>
      </w:r>
    </w:p>
    <w:p>
      <w:pPr>
        <w:pStyle w:val="ListBullet"/>
        <w:spacing w:after="60"/>
      </w:pPr>
      <w:r>
        <w:rPr>
          <w:rFonts w:ascii="Calibri" w:hAnsi="Calibri"/>
        </w:rPr>
        <w:t>Stage 2: replace author-designed cases with independently authored cases and blinded reviewer adjudication by qualified clinicians or pharmacogenomics reviewers.</w:t>
      </w:r>
    </w:p>
    <w:p>
      <w:pPr>
        <w:pStyle w:val="Heading1"/>
      </w:pPr>
      <w:r>
        <w:t>Stage 1 Progress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5460"/>
      </w:tblGrid>
      <w:tr>
        <w:tc>
          <w:tcPr>
            <w:tcW w:type="dxa" w:w="22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17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Current result</w:t>
            </w:r>
          </w:p>
        </w:tc>
        <w:tc>
          <w:tcPr>
            <w:tcW w:type="dxa" w:w="54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Interpretation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Cases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Synthetic case bank for the pruned workflow.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Ungated overclaim rate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0.67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How often the draft claim is intentionally too strong.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Gated remaining overclaim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0.00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Construct-validity check, not clinical safety.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Sensitivity / specificity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1.00 / 1.00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 detects overclaims while allowing aligned alerts.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Inappropriate denial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 of bounded aligned alerts blocked too strongly.</w:t>
            </w:r>
          </w:p>
        </w:tc>
      </w:tr>
    </w:tbl>
    <w:p>
      <w:pPr>
        <w:spacing w:after="40"/>
      </w:pPr>
    </w:p>
    <w:p>
      <w:pPr>
        <w:pStyle w:val="Heading1"/>
      </w:pPr>
      <w:r>
        <w:t>Value</w:t>
      </w:r>
    </w:p>
    <w:p>
      <w:r>
        <w:rPr>
          <w:rFonts w:ascii="Calibri" w:hAnsi="Calibri"/>
        </w:rPr>
        <w:t>The contribution is a submission-ready narrowing move: instead of presenting a universal assurance theory, the paper proposes a small auditable benchmark for a recurrent clinical workflow. This directly answers the critique that the prior package was broad without a single causal chain.</w:t>
      </w:r>
    </w:p>
    <w:p>
      <w:pPr>
        <w:pStyle w:val="Heading1"/>
      </w:pPr>
      <w:r>
        <w:t>Selected Sources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ML4H 2026 home. https://ml4h.ahli.cc/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ML4H 2026 call for participation. https://ml4h.ahli.cc/submit/call-for-papers/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Byrne, D. W., Domenico, H. J., &amp; Moore, R. P. (2024). Artificial intelligence for improved patient outcomes: The pragmatic randomized controlled trial is the secret sauce.. https://kjronline.org/DOIx.php?id=10.3348%2Fkjr.2023.1016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Stegenga, J. (2018). Medical Nihilism. Oxford University Press.. https://global.oup.com/academic/product/medical-nihilism-9780198747048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FDA-NIH BEST Resource. https://www.ncbi.nlm.nih.gov/books/NBK326791/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CPIC guidelines overview. https://cpicpgx.org/guidelines/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ClinPGx CPIC CYP2C19-clopidogrel guideline. https://www.clinpgx.org/guideline/PA166251443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CPIC CYP2C19-clopidogrel 2022 update. https://pmc.ncbi.nlm.nih.gov/articles/PMC9287492/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CPIC DPYD-fluoropyrimidines guideline. https://www.clinpgx.org/guideline/PA166251462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CPIC DPYD-fluoropyrimidines update. https://pmc.ncbi.nlm.nih.gov/articles/PMC5760397/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CPIC TPMT/NUDT15-thiopurines update. https://pmc.ncbi.nlm.nih.gov/articles/PMC12997511/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ClinPGx HLA-B-abacavir guideline. https://www.clinpgx.org/guideline/PA166251444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ClinPGx HLA-A/HLA-B-carbamazepine guideline. https://www.clinpgx.org/guideline/PA166251448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ClinVar. https://www.ncbi.nlm.nih.gov/clinvar/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gnomAD. https://gnomad.broadinstitute.org/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All of Us Research Program. https://allofus.nih.gov/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Genome India project. https://genomeindia.in/</w:t>
      </w:r>
    </w:p>
    <w:p>
      <w:pPr>
        <w:pStyle w:val="ListBullet"/>
        <w:spacing w:after="40"/>
      </w:pPr>
      <w:r>
        <w:rPr>
          <w:rFonts w:ascii="Calibri" w:hAnsi="Calibri"/>
          <w:sz w:val="18"/>
        </w:rPr>
        <w:t>Psifas / Mosaic. https://partnership.psifas.org.il/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7"/>
      </w:rPr>
      <w:t>Ravi Bajaj - Pruned Evidence Gate Proposal - August 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