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F4D78"/>
          <w:sz w:val="38"/>
        </w:rPr>
        <w:t>Summary Sheet</w:t>
      </w:r>
    </w:p>
    <w:p>
      <w:pPr>
        <w:spacing w:after="80"/>
      </w:pPr>
      <w:r>
        <w:rPr>
          <w:rFonts w:ascii="Calibri" w:hAnsi="Calibri"/>
          <w:i/>
          <w:color w:val="555555"/>
          <w:sz w:val="23"/>
        </w:rPr>
        <w:t>Pruned evidence-gated pharmacogenomic LLM-alert capstone</w:t>
      </w:r>
    </w:p>
    <w:p>
      <w:pPr>
        <w:spacing w:after="240"/>
      </w:pPr>
      <w:r>
        <w:rPr>
          <w:rFonts w:ascii="Calibri" w:hAnsi="Calibri"/>
          <w:color w:val="555555"/>
          <w:sz w:val="19"/>
        </w:rPr>
        <w:t>Author: Ravi Bajaj | Course: AI in Healthcare</w:t>
      </w:r>
    </w:p>
    <w:p>
      <w:pPr>
        <w:pStyle w:val="Heading1"/>
      </w:pPr>
      <w:r>
        <w:t>Conference / Symposium</w:t>
      </w:r>
    </w:p>
    <w:tbl>
      <w:tblPr>
        <w:tblStyle w:val="TableGrid"/>
        <w:tblW w:type="dxa" w:w="9360"/>
        <w:jc w:val="left"/>
        <w:tblLayout w:type="fixed"/>
        <w:tblLook w:firstColumn="1" w:firstRow="1" w:lastColumn="0" w:lastRow="0" w:noHBand="0" w:noVBand="1" w:val="04A0"/>
      </w:tblPr>
      <w:tblGrid>
        <w:gridCol w:w="2600"/>
        <w:gridCol w:w="6760"/>
      </w:tblGrid>
      <w:tr>
        <w:tc>
          <w:tcPr>
            <w:tcW w:type="dxa" w:w="2600"/>
            <w:vAlign w:val="center"/>
            <w:shd w:fill="F4F6F9"/>
          </w:tcPr>
          <w:p>
            <w:pPr>
              <w:spacing w:after="0"/>
            </w:pPr>
            <w:r/>
            <w:r>
              <w:rPr>
                <w:rFonts w:ascii="Calibri" w:hAnsi="Calibri"/>
                <w:b/>
                <w:color w:val="000000"/>
                <w:sz w:val="19"/>
              </w:rPr>
              <w:t>Field</w:t>
            </w:r>
          </w:p>
        </w:tc>
        <w:tc>
          <w:tcPr>
            <w:tcW w:type="dxa" w:w="6760"/>
            <w:vAlign w:val="center"/>
            <w:shd w:fill="F4F6F9"/>
          </w:tcPr>
          <w:p>
            <w:pPr>
              <w:spacing w:after="0"/>
            </w:pPr>
            <w:r/>
            <w:r>
              <w:rPr>
                <w:rFonts w:ascii="Calibri" w:hAnsi="Calibri"/>
                <w:b/>
                <w:color w:val="000000"/>
                <w:sz w:val="19"/>
              </w:rPr>
              <w:t>Value</w:t>
            </w:r>
          </w:p>
        </w:tc>
      </w:tr>
      <w:tr>
        <w:tc>
          <w:tcPr>
            <w:tcW w:type="dxa" w:w="2600"/>
            <w:vAlign w:val="center"/>
          </w:tcPr>
          <w:p>
            <w:pPr>
              <w:spacing w:after="0"/>
            </w:pPr>
            <w:r/>
            <w:r>
              <w:rPr>
                <w:rFonts w:ascii="Calibri" w:hAnsi="Calibri"/>
                <w:b w:val="0"/>
                <w:color w:val="000000"/>
                <w:sz w:val="19"/>
              </w:rPr>
              <w:t>Name</w:t>
            </w:r>
          </w:p>
        </w:tc>
        <w:tc>
          <w:tcPr>
            <w:tcW w:type="dxa" w:w="6760"/>
            <w:vAlign w:val="center"/>
          </w:tcPr>
          <w:p>
            <w:pPr>
              <w:spacing w:after="0"/>
            </w:pPr>
            <w:r/>
            <w:r>
              <w:rPr>
                <w:rFonts w:ascii="Calibri" w:hAnsi="Calibri"/>
                <w:b w:val="0"/>
                <w:color w:val="000000"/>
                <w:sz w:val="19"/>
              </w:rPr>
              <w:t>Machine Learning for Health Symposium (ML4H 2026)</w:t>
            </w:r>
          </w:p>
        </w:tc>
      </w:tr>
      <w:tr>
        <w:tc>
          <w:tcPr>
            <w:tcW w:type="dxa" w:w="2600"/>
            <w:vAlign w:val="center"/>
          </w:tcPr>
          <w:p>
            <w:pPr>
              <w:spacing w:after="0"/>
            </w:pPr>
            <w:r/>
            <w:r>
              <w:rPr>
                <w:rFonts w:ascii="Calibri" w:hAnsi="Calibri"/>
                <w:b w:val="0"/>
                <w:color w:val="000000"/>
                <w:sz w:val="19"/>
              </w:rPr>
              <w:t>URL</w:t>
            </w:r>
          </w:p>
        </w:tc>
        <w:tc>
          <w:tcPr>
            <w:tcW w:type="dxa" w:w="6760"/>
            <w:vAlign w:val="center"/>
          </w:tcPr>
          <w:p>
            <w:pPr>
              <w:spacing w:after="0"/>
            </w:pPr>
            <w:r/>
            <w:r>
              <w:rPr>
                <w:rFonts w:ascii="Calibri" w:hAnsi="Calibri"/>
                <w:b w:val="0"/>
                <w:color w:val="000000"/>
                <w:sz w:val="19"/>
              </w:rPr>
              <w:t>https://ml4h.ahli.cc/</w:t>
            </w:r>
          </w:p>
        </w:tc>
      </w:tr>
      <w:tr>
        <w:tc>
          <w:tcPr>
            <w:tcW w:type="dxa" w:w="2600"/>
            <w:vAlign w:val="center"/>
          </w:tcPr>
          <w:p>
            <w:pPr>
              <w:spacing w:after="0"/>
            </w:pPr>
            <w:r/>
            <w:r>
              <w:rPr>
                <w:rFonts w:ascii="Calibri" w:hAnsi="Calibri"/>
                <w:b w:val="0"/>
                <w:color w:val="000000"/>
                <w:sz w:val="19"/>
              </w:rPr>
              <w:t>Author instructions / CFP</w:t>
            </w:r>
          </w:p>
        </w:tc>
        <w:tc>
          <w:tcPr>
            <w:tcW w:type="dxa" w:w="6760"/>
            <w:vAlign w:val="center"/>
          </w:tcPr>
          <w:p>
            <w:pPr>
              <w:spacing w:after="0"/>
            </w:pPr>
            <w:r/>
            <w:r>
              <w:rPr>
                <w:rFonts w:ascii="Calibri" w:hAnsi="Calibri"/>
                <w:b w:val="0"/>
                <w:color w:val="000000"/>
                <w:sz w:val="19"/>
              </w:rPr>
              <w:t>https://ml4h.ahli.cc/submit/call-for-papers/</w:t>
            </w:r>
          </w:p>
        </w:tc>
      </w:tr>
      <w:tr>
        <w:tc>
          <w:tcPr>
            <w:tcW w:type="dxa" w:w="2600"/>
            <w:vAlign w:val="center"/>
          </w:tcPr>
          <w:p>
            <w:pPr>
              <w:spacing w:after="0"/>
            </w:pPr>
            <w:r/>
            <w:r>
              <w:rPr>
                <w:rFonts w:ascii="Calibri" w:hAnsi="Calibri"/>
                <w:b w:val="0"/>
                <w:color w:val="000000"/>
                <w:sz w:val="19"/>
              </w:rPr>
              <w:t>Submission deadline</w:t>
            </w:r>
          </w:p>
        </w:tc>
        <w:tc>
          <w:tcPr>
            <w:tcW w:type="dxa" w:w="6760"/>
            <w:vAlign w:val="center"/>
          </w:tcPr>
          <w:p>
            <w:pPr>
              <w:spacing w:after="0"/>
            </w:pPr>
            <w:r/>
            <w:r>
              <w:rPr>
                <w:rFonts w:ascii="Calibri" w:hAnsi="Calibri"/>
                <w:b w:val="0"/>
                <w:color w:val="000000"/>
                <w:sz w:val="19"/>
              </w:rPr>
              <w:t>September 10, 2026, 11:59 PM AoE</w:t>
            </w:r>
          </w:p>
        </w:tc>
      </w:tr>
      <w:tr>
        <w:tc>
          <w:tcPr>
            <w:tcW w:type="dxa" w:w="2600"/>
            <w:vAlign w:val="center"/>
          </w:tcPr>
          <w:p>
            <w:pPr>
              <w:spacing w:after="0"/>
            </w:pPr>
            <w:r/>
            <w:r>
              <w:rPr>
                <w:rFonts w:ascii="Calibri" w:hAnsi="Calibri"/>
                <w:b w:val="0"/>
                <w:color w:val="000000"/>
                <w:sz w:val="19"/>
              </w:rPr>
              <w:t>Author notification</w:t>
            </w:r>
          </w:p>
        </w:tc>
        <w:tc>
          <w:tcPr>
            <w:tcW w:type="dxa" w:w="6760"/>
            <w:vAlign w:val="center"/>
          </w:tcPr>
          <w:p>
            <w:pPr>
              <w:spacing w:after="0"/>
            </w:pPr>
            <w:r/>
            <w:r>
              <w:rPr>
                <w:rFonts w:ascii="Calibri" w:hAnsi="Calibri"/>
                <w:b w:val="0"/>
                <w:color w:val="000000"/>
                <w:sz w:val="19"/>
              </w:rPr>
              <w:t>October 22, 2026</w:t>
            </w:r>
          </w:p>
        </w:tc>
      </w:tr>
      <w:tr>
        <w:tc>
          <w:tcPr>
            <w:tcW w:type="dxa" w:w="2600"/>
            <w:vAlign w:val="center"/>
          </w:tcPr>
          <w:p>
            <w:pPr>
              <w:spacing w:after="0"/>
            </w:pPr>
            <w:r/>
            <w:r>
              <w:rPr>
                <w:rFonts w:ascii="Calibri" w:hAnsi="Calibri"/>
                <w:b w:val="0"/>
                <w:color w:val="000000"/>
                <w:sz w:val="19"/>
              </w:rPr>
              <w:t>Camera-ready deadline</w:t>
            </w:r>
          </w:p>
        </w:tc>
        <w:tc>
          <w:tcPr>
            <w:tcW w:type="dxa" w:w="6760"/>
            <w:vAlign w:val="center"/>
          </w:tcPr>
          <w:p>
            <w:pPr>
              <w:spacing w:after="0"/>
            </w:pPr>
            <w:r/>
            <w:r>
              <w:rPr>
                <w:rFonts w:ascii="Calibri" w:hAnsi="Calibri"/>
                <w:b w:val="0"/>
                <w:color w:val="000000"/>
                <w:sz w:val="19"/>
              </w:rPr>
              <w:t>November 7, 2026 (tentative)</w:t>
            </w:r>
          </w:p>
        </w:tc>
      </w:tr>
      <w:tr>
        <w:tc>
          <w:tcPr>
            <w:tcW w:type="dxa" w:w="2600"/>
            <w:vAlign w:val="center"/>
          </w:tcPr>
          <w:p>
            <w:pPr>
              <w:spacing w:after="0"/>
            </w:pPr>
            <w:r/>
            <w:r>
              <w:rPr>
                <w:rFonts w:ascii="Calibri" w:hAnsi="Calibri"/>
                <w:b w:val="0"/>
                <w:color w:val="000000"/>
                <w:sz w:val="19"/>
              </w:rPr>
              <w:t>Event dates</w:t>
            </w:r>
          </w:p>
        </w:tc>
        <w:tc>
          <w:tcPr>
            <w:tcW w:type="dxa" w:w="6760"/>
            <w:vAlign w:val="center"/>
          </w:tcPr>
          <w:p>
            <w:pPr>
              <w:spacing w:after="0"/>
            </w:pPr>
            <w:r/>
            <w:r>
              <w:rPr>
                <w:rFonts w:ascii="Calibri" w:hAnsi="Calibri"/>
                <w:b w:val="0"/>
                <w:color w:val="000000"/>
                <w:sz w:val="19"/>
              </w:rPr>
              <w:t>December 6-7, 2026</w:t>
            </w:r>
          </w:p>
        </w:tc>
      </w:tr>
      <w:tr>
        <w:tc>
          <w:tcPr>
            <w:tcW w:type="dxa" w:w="2600"/>
            <w:vAlign w:val="center"/>
          </w:tcPr>
          <w:p>
            <w:pPr>
              <w:spacing w:after="0"/>
            </w:pPr>
            <w:r/>
            <w:r>
              <w:rPr>
                <w:rFonts w:ascii="Calibri" w:hAnsi="Calibri"/>
                <w:b w:val="0"/>
                <w:color w:val="000000"/>
                <w:sz w:val="19"/>
              </w:rPr>
              <w:t>Location</w:t>
            </w:r>
          </w:p>
        </w:tc>
        <w:tc>
          <w:tcPr>
            <w:tcW w:type="dxa" w:w="6760"/>
            <w:vAlign w:val="center"/>
          </w:tcPr>
          <w:p>
            <w:pPr>
              <w:spacing w:after="0"/>
            </w:pPr>
            <w:r/>
            <w:r>
              <w:rPr>
                <w:rFonts w:ascii="Calibri" w:hAnsi="Calibri"/>
                <w:b w:val="0"/>
                <w:color w:val="000000"/>
                <w:sz w:val="19"/>
              </w:rPr>
              <w:t>Sydney, Australia</w:t>
            </w:r>
          </w:p>
        </w:tc>
      </w:tr>
      <w:tr>
        <w:tc>
          <w:tcPr>
            <w:tcW w:type="dxa" w:w="2600"/>
            <w:vAlign w:val="center"/>
          </w:tcPr>
          <w:p>
            <w:pPr>
              <w:spacing w:after="0"/>
            </w:pPr>
            <w:r/>
            <w:r>
              <w:rPr>
                <w:rFonts w:ascii="Calibri" w:hAnsi="Calibri"/>
                <w:b w:val="0"/>
                <w:color w:val="000000"/>
                <w:sz w:val="19"/>
              </w:rPr>
              <w:t>Suggested track</w:t>
            </w:r>
          </w:p>
        </w:tc>
        <w:tc>
          <w:tcPr>
            <w:tcW w:type="dxa" w:w="6760"/>
            <w:vAlign w:val="center"/>
          </w:tcPr>
          <w:p>
            <w:pPr>
              <w:spacing w:after="0"/>
            </w:pPr>
            <w:r/>
            <w:r>
              <w:rPr>
                <w:rFonts w:ascii="Calibri" w:hAnsi="Calibri"/>
                <w:b w:val="0"/>
                <w:color w:val="000000"/>
                <w:sz w:val="19"/>
              </w:rPr>
              <w:t>Findings Track if kept as preliminary construct-validity work; Proceedings Track only after independent review.</w:t>
            </w:r>
          </w:p>
        </w:tc>
      </w:tr>
    </w:tbl>
    <w:p>
      <w:pPr>
        <w:spacing w:after="40"/>
      </w:pPr>
    </w:p>
    <w:p>
      <w:pPr>
        <w:pStyle w:val="Heading1"/>
      </w:pPr>
      <w:r>
        <w:t>Title and Abstract</w:t>
      </w:r>
    </w:p>
    <w:p>
      <w:r>
        <w:rPr>
          <w:rFonts w:ascii="Calibri" w:hAnsi="Calibri"/>
        </w:rPr>
        <w:t>Title: Evidence-Gated Medical LLM Alerts for Pharmacogenomic Claims: Detecting Overclaiming Relative to Guideline-Supported Evidence</w:t>
      </w:r>
    </w:p>
    <w:p>
      <w:r>
        <w:rPr>
          <w:rFonts w:ascii="Calibri" w:hAnsi="Calibri"/>
        </w:rPr>
        <w:t>Abstract: This capstone studies a narrowed clinical AI safety problem: LLM-drafted pharmacogenomic and genomic medication alerts can overstate what guideline-supported evidence actually permits. I implement a synthetic pre-display evidence gate with three checks: endpoint/actionability, population fit, and citation/guideline support. In 30 synthetic cases, ungated drafts overclaimed evidence in 20 cases, while the gated controller reduced remaining overclaiming to 0, allowed 10 aligned bounded alerts, and produced no inappropriate denials. These results show implementation consistency and construct validity, not clinical utility. A Stage 2 study would compare ungated and gated alerts on independently authored cases with blinded reviewer adjudication of overclaiming, inappropriate denial, calibration, and error categories.</w:t>
      </w:r>
    </w:p>
    <w:p>
      <w:pPr>
        <w:pStyle w:val="Heading1"/>
      </w:pPr>
      <w:r>
        <w:t>Generative AI Use</w:t>
      </w:r>
    </w:p>
    <w:p>
      <w:r>
        <w:rPr>
          <w:rFonts w:ascii="Calibri" w:hAnsi="Calibri"/>
        </w:rPr>
        <w:t>Generative AI tools were used for brainstorming, critique, code scaffolding, drafting, packaging, and formatting. The author selected the final scope, directed the pruning, verified sources, reviewed generated text, ran local tests, and remains responsible for all claims, limitations, and submission materials.</w:t>
      </w:r>
    </w:p>
    <w:p>
      <w:pPr>
        <w:pStyle w:val="Heading1"/>
      </w:pPr>
      <w:r>
        <w:t>Optional Data, Code, and Tools</w:t>
      </w:r>
    </w:p>
    <w:p>
      <w:pPr>
        <w:pStyle w:val="ListBullet"/>
        <w:spacing w:after="60"/>
      </w:pPr>
      <w:r>
        <w:rPr>
          <w:rFonts w:ascii="Calibri" w:hAnsi="Calibri"/>
        </w:rPr>
        <w:t>Synthetic 30-case pharmacogenomic/genomic medication-alert case bank.</w:t>
      </w:r>
    </w:p>
    <w:p>
      <w:pPr>
        <w:pStyle w:val="ListBullet"/>
        <w:spacing w:after="60"/>
      </w:pPr>
      <w:r>
        <w:rPr>
          <w:rFonts w:ascii="Calibri" w:hAnsi="Calibri"/>
        </w:rPr>
        <w:t>Executable three-gate controller and tests.</w:t>
      </w:r>
    </w:p>
    <w:p>
      <w:pPr>
        <w:pStyle w:val="ListBullet"/>
        <w:spacing w:after="60"/>
      </w:pPr>
      <w:r>
        <w:rPr>
          <w:rFonts w:ascii="Calibri" w:hAnsi="Calibri"/>
        </w:rPr>
        <w:t>CSV/JSON results for overclaim detection, inappropriate denial, calibration, and gate/error categories.</w:t>
      </w:r>
    </w:p>
    <w:p>
      <w:pPr>
        <w:pStyle w:val="ListBullet"/>
        <w:spacing w:after="60"/>
      </w:pPr>
      <w:r>
        <w:rPr>
          <w:rFonts w:ascii="Calibri" w:hAnsi="Calibri"/>
        </w:rPr>
        <w:t>No real patient data, no protected health information, no diagnosis, and no treatment recommendation.</w:t>
      </w:r>
    </w:p>
    <w:sectPr w:rsidR="00FC693F" w:rsidRPr="0006063C" w:rsidSect="00034616">
      <w:footerReference w:type="default" r:id="rId9"/>
      <w:pgSz w:w="12240" w:h="15840"/>
      <w:pgMar w:top="1152" w:right="1224" w:bottom="1080" w:left="1224" w:header="648"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55555"/>
        <w:sz w:val="17"/>
      </w:rPr>
      <w:t>Ravi Bajaj - Summary Sheet - August 8,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