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evidence-gate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rPr>
          <w:rFonts w:ascii="Calibri" w:hAnsi="Calibri"/>
        </w:rPr>
        <w:t>Stage 1 results are implementation consistency, not independent safety or generalization.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rPr>
          <w:rFonts w:ascii="Calibri" w:hAnsi="Calibri"/>
        </w:rPr>
        <w:t>C:\Users\anaxe\.cache\codex-runtimes\codex-primary-runtime\dependencies\python\python.exe work\pruned_evidence_gate\pruned_evidence_gate.py</w:t>
      </w:r>
    </w:p>
    <w:p>
      <w:r>
        <w:rPr>
          <w:rFonts w:ascii="Calibri" w:hAnsi="Calibri"/>
        </w:rPr>
        <w:t>C:\Users\anaxe\.cache\codex-runtimes\codex-primary-runtime\dependencies\python\python.exe -m pytest work\pruned_evidence_gate -q</w:t>
      </w:r>
    </w:p>
    <w:p>
      <w:pPr>
        <w:pStyle w:val="Heading1"/>
      </w:pPr>
      <w:r>
        <w:t>Case Matrix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gate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PGX01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CYP2C19-clopidogrel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PGX02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CYP2C19-clopidogrel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narrow claim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PGX03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CYP2C19-clopidogrel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narrow claim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PGX04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DPYD-fluoropyrimidines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PGX05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DPYD-fluoropyrimidines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narrow claim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PGX06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TPMT/NUDT15-thiopurines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PGX07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TPMT/NUDT15-thiopurines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PGX08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HLA-B*57:01-abacavir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PGX09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HLA-B*15:02-carbamazepine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PGX10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HLA-B*15:02-carbamazepine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population fit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population fit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PGX11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CYP2D6-codeine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PGX12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CYP2D6-opioids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PGX13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CYP2D6-tramadol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narrow claim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PGX14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SLCO1B1-simvastatin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PGX15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CYP2C9/VKORC1-warfarin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narrow claim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endpoint actionability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PGX16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UGT1A1-irinotecan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PGX17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MTHFR-folate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PGX18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COMT-psychiatric medication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PGX19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APOE-dementia risk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PGX20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RYR1/CACNA1S-anesthesia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PGX21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G6PD-oxidant drugs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allow bounded alert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none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PGX22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IFNL3-hepatitis C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citation support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PGX23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ACE-fitness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PGX24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Polygenic addiction liability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unsupported action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PGX25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Genome India population transport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population fit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population fit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PGX26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Israel founder-variant transport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population fit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population fit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PGX27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of Us / TOPMed transport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population fit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population fit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PGX28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ClinVar VUS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citation support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PGX29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ClinVar conflicting submissions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abstain citation support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PGX30</w:t>
            </w:r>
          </w:p>
        </w:tc>
        <w:tc>
          <w:tcPr>
            <w:tcW w:type="dxa" w:w="19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Fabricated guideline citation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deny citation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citation guideline support</w:t>
            </w:r>
          </w:p>
        </w:tc>
        <w:tc>
          <w:tcPr>
            <w:tcW w:type="dxa" w:w="14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count</w:t>
            </w:r>
          </w:p>
        </w:tc>
        <w:tc>
          <w:tcPr>
            <w:tcW w:type="dxa" w:w="5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30</w:t>
            </w:r>
          </w:p>
        </w:tc>
      </w:tr>
      <w:tr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Ungated overclaim count</w:t>
            </w:r>
          </w:p>
        </w:tc>
        <w:tc>
          <w:tcPr>
            <w:tcW w:type="dxa" w:w="5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</w:t>
            </w:r>
          </w:p>
        </w:tc>
      </w:tr>
      <w:tr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Gated remaining overclaim count</w:t>
            </w:r>
          </w:p>
        </w:tc>
        <w:tc>
          <w:tcPr>
            <w:tcW w:type="dxa" w:w="5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Sensitivity</w:t>
            </w:r>
          </w:p>
        </w:tc>
        <w:tc>
          <w:tcPr>
            <w:tcW w:type="dxa" w:w="5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1.000</w:t>
            </w:r>
          </w:p>
        </w:tc>
      </w:tr>
      <w:tr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Specificity</w:t>
            </w:r>
          </w:p>
        </w:tc>
        <w:tc>
          <w:tcPr>
            <w:tcW w:type="dxa" w:w="5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1.000</w:t>
            </w:r>
          </w:p>
        </w:tc>
      </w:tr>
      <w:tr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Brier score</w:t>
            </w:r>
          </w:p>
        </w:tc>
        <w:tc>
          <w:tcPr>
            <w:tcW w:type="dxa" w:w="5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0.112</w:t>
            </w:r>
          </w:p>
        </w:tc>
      </w:tr>
      <w:tr>
        <w:tc>
          <w:tcPr>
            <w:tcW w:type="dxa" w:w="3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Matched expected rate</w:t>
            </w:r>
          </w:p>
        </w:tc>
        <w:tc>
          <w:tcPr>
            <w:tcW w:type="dxa" w:w="58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1.000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52" w:right="1224" w:bottom="1080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