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Pr>
                <w:rFonts w:ascii="Aptos" w:hAnsi="Aptos" w:eastAsia="Aptos"/>
                <w:sz w:val="16"/>
              </w:rPr>
            </w:r>
            <w:r>
              <w:rPr>
                <w:rFonts w:ascii="Aptos" w:hAnsi="Aptos" w:eastAsia="Aptos"/>
                <w:b/>
                <w:color w:val="000000"/>
                <w:sz w:val="16"/>
              </w:rPr>
              <w:t>Field</w:t>
            </w:r>
          </w:p>
        </w:tc>
        <w:tc>
          <w:tcPr>
            <w:tcW w:type="dxa" w:w="6760"/>
            <w:vAlign w:val="center"/>
            <w:shd w:fill="F4F6F9"/>
          </w:tcPr>
          <w:p>
            <w:pPr>
              <w:spacing w:after="0"/>
            </w:pPr>
            <w:r>
              <w:rPr>
                <w:rFonts w:ascii="Aptos" w:hAnsi="Aptos" w:eastAsia="Aptos"/>
                <w:sz w:val="16"/>
              </w:rPr>
            </w:r>
            <w:r>
              <w:rPr>
                <w:rFonts w:ascii="Aptos" w:hAnsi="Aptos" w:eastAsia="Aptos"/>
                <w:b/>
                <w:color w:val="000000"/>
                <w:sz w:val="16"/>
              </w:rPr>
              <w:t>Value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Name</w:t>
            </w:r>
          </w:p>
        </w:tc>
        <w:tc>
          <w:tcPr>
            <w:tcW w:type="dxa" w:w="6760"/>
            <w:vAlign w:val="center"/>
          </w:tcPr>
          <w:p>
            <w:pPr>
              <w:spacing w:after="0"/>
            </w:pPr>
            <w:r>
              <w:rPr>
                <w:rFonts w:ascii="Aptos" w:hAnsi="Aptos" w:eastAsia="Aptos"/>
                <w:sz w:val="16"/>
              </w:rPr>
            </w:r>
            <w:r>
              <w:rPr>
                <w:rFonts w:ascii="Aptos" w:hAnsi="Aptos" w:eastAsia="Aptos"/>
                <w:b w:val="0"/>
                <w:color w:val="000000"/>
                <w:sz w:val="16"/>
              </w:rPr>
              <w:t>Machine Learning for Health Symposium (ML4H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URL</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instructions / CFP</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https://ml4h.ahli.cc/submit/call-for-papers/</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Submission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September 10, 2026, 11:59 PM AoE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notification</w:t>
            </w:r>
          </w:p>
        </w:tc>
        <w:tc>
          <w:tcPr>
            <w:tcW w:type="dxa" w:w="6760"/>
            <w:vAlign w:val="center"/>
          </w:tcPr>
          <w:p>
            <w:pPr>
              <w:spacing w:after="0"/>
            </w:pPr>
            <w:r>
              <w:rPr>
                <w:rFonts w:ascii="Aptos" w:hAnsi="Aptos" w:eastAsia="Aptos"/>
                <w:sz w:val="16"/>
              </w:rPr>
            </w:r>
            <w:r>
              <w:rPr>
                <w:rFonts w:ascii="Aptos" w:hAnsi="Aptos" w:eastAsia="Aptos"/>
                <w:b w:val="0"/>
                <w:color w:val="000000"/>
                <w:sz w:val="16"/>
              </w:rPr>
              <w:t>October 22,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Camera-ready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November 7, 2026 (tentative)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Event dates</w:t>
            </w:r>
          </w:p>
        </w:tc>
        <w:tc>
          <w:tcPr>
            <w:tcW w:type="dxa" w:w="6760"/>
            <w:vAlign w:val="center"/>
          </w:tcPr>
          <w:p>
            <w:pPr>
              <w:spacing w:after="0"/>
            </w:pPr>
            <w:r>
              <w:rPr>
                <w:rFonts w:ascii="Aptos" w:hAnsi="Aptos" w:eastAsia="Aptos"/>
                <w:sz w:val="16"/>
              </w:rPr>
            </w:r>
            <w:r>
              <w:rPr>
                <w:rFonts w:ascii="Aptos" w:hAnsi="Aptos" w:eastAsia="Aptos"/>
                <w:b w:val="0"/>
                <w:color w:val="000000"/>
                <w:sz w:val="16"/>
              </w:rPr>
              <w:t>December 6-7,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Location</w:t>
            </w:r>
          </w:p>
        </w:tc>
        <w:tc>
          <w:tcPr>
            <w:tcW w:type="dxa" w:w="6760"/>
            <w:vAlign w:val="center"/>
          </w:tcPr>
          <w:p>
            <w:pPr>
              <w:spacing w:after="0"/>
            </w:pPr>
            <w:r>
              <w:rPr>
                <w:rFonts w:ascii="Aptos" w:hAnsi="Aptos" w:eastAsia="Aptos"/>
                <w:sz w:val="16"/>
              </w:rPr>
            </w:r>
            <w:r>
              <w:rPr>
                <w:rFonts w:ascii="Aptos" w:hAnsi="Aptos" w:eastAsia="Aptos"/>
                <w:b w:val="0"/>
                <w:color w:val="000000"/>
                <w:sz w:val="16"/>
              </w:rPr>
              <w:t>Sydney, Australia</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Suggested track</w:t>
            </w:r>
          </w:p>
        </w:tc>
        <w:tc>
          <w:tcPr>
            <w:tcW w:type="dxa" w:w="6760"/>
            <w:vAlign w:val="center"/>
          </w:tcPr>
          <w:p>
            <w:r>
              <w:rPr>
                <w:rFonts w:ascii="Aptos" w:hAnsi="Aptos" w:eastAsia="Aptos"/>
                <w:sz w:val="16"/>
              </w:rPr>
              <w:t>Findings Track for preliminary specification-conformance work; Proceedings Track only after independent review.</w:t>
            </w:r>
          </w:p>
        </w:tc>
      </w:tr>
      <w:tr>
        <w:tc>
          <w:tcPr>
            <w:tcW w:type="dxa" w:w="2600"/>
          </w:tcPr>
          <w:p>
            <w:r>
              <w:rPr>
                <w:rFonts w:ascii="Aptos" w:hAnsi="Aptos" w:eastAsia="Aptos"/>
                <w:sz w:val="16"/>
              </w:rPr>
              <w:t>Editable paper format</w:t>
            </w:r>
          </w:p>
        </w:tc>
        <w:tc>
          <w:tcPr>
            <w:tcW w:type="dxa" w:w="6760"/>
          </w:tcPr>
          <w:p>
            <w:r>
              <w:rPr>
                <w:rFonts w:ascii="Aptos" w:hAnsi="Aptos" w:eastAsia="Aptos"/>
                <w:sz w:val="16"/>
              </w:rPr>
              <w:t>LaTeX/Overleaf source: paper/ml4h_findings_evidence_gate.tex with paper/ml4h_findings_refs.bib; compiled PDF: paper/ml4h_findings_evidence_gate.pdf.</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t>Abstract: LLM-generated medication alerts can sound more certain than their evidence permits. We built a deterministic pre-display monitor for one workflow: pharmacogenomic and genomic medication-alert text. The monitor checks source support, population fit, and claim strength, then returns allow, narrow, abstain, or deny. Stage 1 is a synthetic specification test: the case bank supplies the structured annotations a future live system would need to extract, and ablation tests whether any check is dispensable. Disabling source support, population fit, or claim strength let 2, 1, and 6 of 23 designed overclaims pass unchanged, respectively. With all checks active, 23/23 designed overclaim archetypes were routed and 10/10 bounded alerts passed unchanged. Arm A froze a full-bank LLM baseline that included the source-support label; GPT-5.6-terra and Grok-4.5 each routed 23/23 overclaims and preserved 10/10 bounded alerts. Arm B withheld the source-support label for PGX31-PGX33 and supplied structured citations; both models matched the deterministic action and primary check on all three isolating cases. These are specification-conformance results, not clinical safety, annotation validity, generalization, or patient-benefit evidence.</w:t>
      </w:r>
    </w:p>
    <w:p>
      <w:pPr>
        <w:pStyle w:val="Heading1"/>
      </w:pPr>
      <w:r>
        <w:t>Generative AI Use</w:t>
      </w:r>
    </w:p>
    <w:p>
      <w:r>
        <w:t>Generative AI tools were used for brainstorming, critique, code scaffolding, drafting, packaging, formatting, and LLM self-evaluation baselines on synthetic annotations only. Arm A used GPT-5.6-terra and Grok-4.5 with full structured labels; Arm B used the same models on PGX31-PGX33 with source-support labels withheld and structured citations supplied. No real patient records, protected health information, or private genomic data were transmitted.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pPr>
      <w:r>
        <w:t>Synthetic 33-case pharmacogenomic/genomic medication-alert case bank with no real patient data, PHI, diagnosis, or treatment recommendation.</w:t>
      </w:r>
    </w:p>
    <w:p>
      <w:pPr>
        <w:pStyle w:val="ListBullet"/>
      </w:pPr>
      <w:r>
        <w:t>Executable three-check controller with unit tests and deterministic replay outputs.</w:t>
      </w:r>
    </w:p>
    <w:p>
      <w:pPr>
        <w:pStyle w:val="ListBullet"/>
      </w:pPr>
      <w:r>
        <w:t>One-check ablation CSV, precedence-sensitivity CSV, Arm A/Arm B LLM self-evaluation CSV/JSON outputs, synthetic uniform-NARROW sanity outputs, and CSV/JSON summaries for overclaim handling, inappropriate denial, calibration, and check categories.</w:t>
      </w:r>
    </w:p>
    <w:p>
      <w:pPr>
        <w:pStyle w:val="Heading1"/>
      </w:pPr>
      <w:r>
        <w:t>Evidence-Boundary Framework</w:t>
      </w:r>
    </w:p>
    <w:p>
      <w:r>
        <w:t>The empirical workflow is pharmacogenomics, but the design pattern is broader: source support asks whether evidence exists and applies; population fit asks whether evidence transports to the target patient or population; and claim strength asks whether the evidence supports the displayed action rather than only a weaker association or surrogate endpoint.</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