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r>
        <w:rPr>
          <w:rFonts w:ascii="Aptos" w:hAnsi="Aptos" w:eastAsia="Aptos"/>
        </w:rPr>
        <w:t>Venue split: the ML4H LaTeX shows only the ablation table; the course DOCX and supplement retain full conformance accounting for grading and reproducibility.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code\pruned_evidence_gate.py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p>
      <w:r>
        <w:rPr>
          <w:rFonts w:ascii="Aptos" w:hAnsi="Aptos" w:eastAsia="Aptos"/>
        </w:rPr>
        <w:t>The final case matrix contains 33 author-designed synthetic cases: 10 bounded aligned alerts and 23 designed overclaim archetypes. PGX31-PGX33 were added after review feedback to isolate gate necessity rather than merely increasing case count: PGX31 and PGX33 are citation/guideline-support-only failures, PGX32 is a population-fit-only failure, and six endpoint-only cases remain in the bank.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Primary-gate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Gate-precedence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Gate Ablation Snapshot</w:t>
      </w:r>
    </w:p>
    <w:p>
      <w:r>
        <w:rPr>
          <w:rFonts w:ascii="Aptos" w:hAnsi="Aptos" w:eastAsia="Aptos"/>
        </w:rPr>
        <w:t>One-gate ablations disable exactly one gate. PGX31 and PGX33 isolate citation/guideline support, PGX32 isolates population fit, and six endpoint-only cases isolate endpoint/actionability. Disabling the three gates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gate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Primary-gate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Citation/guideline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Endpoint/actionability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