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rPr>
          <w:rFonts w:ascii="Calibri" w:hAnsi="Calibri"/>
          <w:i/>
          <w:color w:val="555555"/>
          <w:sz w:val="23"/>
        </w:rPr>
        <w:t>Pruned PGx evidence-gate case bank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rPr>
          <w:rFonts w:ascii="Calibri" w:hAnsi="Calibri"/>
        </w:rPr>
        <w:t>Stage 1 results are specification-conformance counts on author-designed synthetic archetypes, not independent safety, accuracy, or generalization. The controller consumes structured evidence annotations only; it does not parse free text or call an LLM.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rPr>
          <w:rFonts w:ascii="Calibri" w:hAnsi="Calibri"/>
        </w:rPr>
        <w:t>py -3.13 code\pruned_evidence_gate.py</w:t>
      </w:r>
    </w:p>
    <w:p>
      <w:r>
        <w:rPr>
          <w:rFonts w:ascii="Calibri" w:hAnsi="Calibri"/>
        </w:rPr>
        <w:t>py -3.13 -m pytest code -q</w:t>
      </w:r>
    </w:p>
    <w:p>
      <w:pPr>
        <w:pStyle w:val="Heading1"/>
      </w:pPr>
      <w:r>
        <w:t>Case Matrix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gate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PGX01</w:t>
            </w:r>
          </w:p>
        </w:tc>
        <w:tc>
          <w:tcPr>
            <w:tcW w:type="dxa" w:w="1900"/>
            <w:vAlign w:val="center"/>
          </w:tcPr>
          <w:p>
            <w:r>
              <w:t>CYP2C19-clopidogrel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PGX02</w:t>
            </w:r>
          </w:p>
        </w:tc>
        <w:tc>
          <w:tcPr>
            <w:tcW w:type="dxa" w:w="1900"/>
            <w:vAlign w:val="center"/>
          </w:tcPr>
          <w:p>
            <w:r>
              <w:t>CYP2C19-clopidogrel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PGX03</w:t>
            </w:r>
          </w:p>
        </w:tc>
        <w:tc>
          <w:tcPr>
            <w:tcW w:type="dxa" w:w="1900"/>
            <w:vAlign w:val="center"/>
          </w:tcPr>
          <w:p>
            <w:r>
              <w:t>CYP2C19-clopidogrel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PGX04</w:t>
            </w:r>
          </w:p>
        </w:tc>
        <w:tc>
          <w:tcPr>
            <w:tcW w:type="dxa" w:w="1900"/>
            <w:vAlign w:val="center"/>
          </w:tcPr>
          <w:p>
            <w:r>
              <w:t>DPYD-fluoropyrimidines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PGX05</w:t>
            </w:r>
          </w:p>
        </w:tc>
        <w:tc>
          <w:tcPr>
            <w:tcW w:type="dxa" w:w="1900"/>
            <w:vAlign w:val="center"/>
          </w:tcPr>
          <w:p>
            <w:r>
              <w:t>DPYD-fluoropyrimidines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PGX06</w:t>
            </w:r>
          </w:p>
        </w:tc>
        <w:tc>
          <w:tcPr>
            <w:tcW w:type="dxa" w:w="1900"/>
            <w:vAlign w:val="center"/>
          </w:tcPr>
          <w:p>
            <w:r>
              <w:t>TPMT/NUDT15-thiopurines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PGX07</w:t>
            </w:r>
          </w:p>
        </w:tc>
        <w:tc>
          <w:tcPr>
            <w:tcW w:type="dxa" w:w="1900"/>
            <w:vAlign w:val="center"/>
          </w:tcPr>
          <w:p>
            <w:r>
              <w:t>TPMT/NUDT15-thiopurines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PGX08</w:t>
            </w:r>
          </w:p>
        </w:tc>
        <w:tc>
          <w:tcPr>
            <w:tcW w:type="dxa" w:w="1900"/>
            <w:vAlign w:val="center"/>
          </w:tcPr>
          <w:p>
            <w:r>
              <w:t>HLA-B*57:01-abacavir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PGX09</w:t>
            </w:r>
          </w:p>
        </w:tc>
        <w:tc>
          <w:tcPr>
            <w:tcW w:type="dxa" w:w="1900"/>
            <w:vAlign w:val="center"/>
          </w:tcPr>
          <w:p>
            <w:r>
              <w:t>HLA-B*15:02-carbamazepine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PGX10</w:t>
            </w:r>
          </w:p>
        </w:tc>
        <w:tc>
          <w:tcPr>
            <w:tcW w:type="dxa" w:w="1900"/>
            <w:vAlign w:val="center"/>
          </w:tcPr>
          <w:p>
            <w:r>
              <w:t>HLA-B*15:02-carbamazepine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PGX11</w:t>
            </w:r>
          </w:p>
        </w:tc>
        <w:tc>
          <w:tcPr>
            <w:tcW w:type="dxa" w:w="1900"/>
            <w:vAlign w:val="center"/>
          </w:tcPr>
          <w:p>
            <w:r>
              <w:t>CYP2D6-codeine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PGX12</w:t>
            </w:r>
          </w:p>
        </w:tc>
        <w:tc>
          <w:tcPr>
            <w:tcW w:type="dxa" w:w="1900"/>
            <w:vAlign w:val="center"/>
          </w:tcPr>
          <w:p>
            <w:r>
              <w:t>CYP2D6-opioids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PGX13</w:t>
            </w:r>
          </w:p>
        </w:tc>
        <w:tc>
          <w:tcPr>
            <w:tcW w:type="dxa" w:w="1900"/>
            <w:vAlign w:val="center"/>
          </w:tcPr>
          <w:p>
            <w:r>
              <w:t>CYP2D6-tramadol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PGX14</w:t>
            </w:r>
          </w:p>
        </w:tc>
        <w:tc>
          <w:tcPr>
            <w:tcW w:type="dxa" w:w="1900"/>
            <w:vAlign w:val="center"/>
          </w:tcPr>
          <w:p>
            <w:r>
              <w:t>SLCO1B1-simvastatin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PGX15</w:t>
            </w:r>
          </w:p>
        </w:tc>
        <w:tc>
          <w:tcPr>
            <w:tcW w:type="dxa" w:w="1900"/>
            <w:vAlign w:val="center"/>
          </w:tcPr>
          <w:p>
            <w:r>
              <w:t>CYP2C9/VKORC1-warfarin</w:t>
            </w:r>
          </w:p>
        </w:tc>
        <w:tc>
          <w:tcPr>
            <w:tcW w:type="dxa" w:w="2600"/>
            <w:vAlign w:val="center"/>
          </w:tcPr>
          <w:p>
            <w:r>
              <w:t>narrow claim</w:t>
            </w:r>
          </w:p>
        </w:tc>
        <w:tc>
          <w:tcPr>
            <w:tcW w:type="dxa" w:w="2500"/>
            <w:vAlign w:val="center"/>
          </w:tcPr>
          <w:p>
            <w:r>
              <w:t>endpoint actionability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PGX16</w:t>
            </w:r>
          </w:p>
        </w:tc>
        <w:tc>
          <w:tcPr>
            <w:tcW w:type="dxa" w:w="1900"/>
            <w:vAlign w:val="center"/>
          </w:tcPr>
          <w:p>
            <w:r>
              <w:t>UGT1A1-irinotecan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PGX17</w:t>
            </w:r>
          </w:p>
        </w:tc>
        <w:tc>
          <w:tcPr>
            <w:tcW w:type="dxa" w:w="1900"/>
            <w:vAlign w:val="center"/>
          </w:tcPr>
          <w:p>
            <w:r>
              <w:t>MTHFR-folate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PGX18</w:t>
            </w:r>
          </w:p>
        </w:tc>
        <w:tc>
          <w:tcPr>
            <w:tcW w:type="dxa" w:w="1900"/>
            <w:vAlign w:val="center"/>
          </w:tcPr>
          <w:p>
            <w:r>
              <w:t>COMT-psychiatric medication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PGX19</w:t>
            </w:r>
          </w:p>
        </w:tc>
        <w:tc>
          <w:tcPr>
            <w:tcW w:type="dxa" w:w="1900"/>
            <w:vAlign w:val="center"/>
          </w:tcPr>
          <w:p>
            <w:r>
              <w:t>APOE-dementia risk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PGX20</w:t>
            </w:r>
          </w:p>
        </w:tc>
        <w:tc>
          <w:tcPr>
            <w:tcW w:type="dxa" w:w="1900"/>
            <w:vAlign w:val="center"/>
          </w:tcPr>
          <w:p>
            <w:r>
              <w:t>RYR1/CACNA1S-anesthesia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PGX21</w:t>
            </w:r>
          </w:p>
        </w:tc>
        <w:tc>
          <w:tcPr>
            <w:tcW w:type="dxa" w:w="1900"/>
            <w:vAlign w:val="center"/>
          </w:tcPr>
          <w:p>
            <w:r>
              <w:t>G6PD-oxidant drugs</w:t>
            </w:r>
          </w:p>
        </w:tc>
        <w:tc>
          <w:tcPr>
            <w:tcW w:type="dxa" w:w="2600"/>
            <w:vAlign w:val="center"/>
          </w:tcPr>
          <w:p>
            <w:r>
              <w:t>allow bounded alert</w:t>
            </w:r>
          </w:p>
        </w:tc>
        <w:tc>
          <w:tcPr>
            <w:tcW w:type="dxa" w:w="2500"/>
            <w:vAlign w:val="center"/>
          </w:tcPr>
          <w:p>
            <w:r>
              <w:t>none</w:t>
            </w:r>
          </w:p>
        </w:tc>
        <w:tc>
          <w:tcPr>
            <w:tcW w:type="dxa" w:w="1460"/>
            <w:vAlign w:val="center"/>
          </w:tcPr>
          <w:p>
            <w:r>
              <w:t>False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PGX22</w:t>
            </w:r>
          </w:p>
        </w:tc>
        <w:tc>
          <w:tcPr>
            <w:tcW w:type="dxa" w:w="1900"/>
            <w:vAlign w:val="center"/>
          </w:tcPr>
          <w:p>
            <w:r>
              <w:t>IFNL3-hepatitis C</w:t>
            </w:r>
          </w:p>
        </w:tc>
        <w:tc>
          <w:tcPr>
            <w:tcW w:type="dxa" w:w="2600"/>
            <w:vAlign w:val="center"/>
          </w:tcPr>
          <w:p>
            <w:r>
              <w:t>abstain citation support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PGX23</w:t>
            </w:r>
          </w:p>
        </w:tc>
        <w:tc>
          <w:tcPr>
            <w:tcW w:type="dxa" w:w="1900"/>
            <w:vAlign w:val="center"/>
          </w:tcPr>
          <w:p>
            <w:r>
              <w:t>ACE-fitness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PGX24</w:t>
            </w:r>
          </w:p>
        </w:tc>
        <w:tc>
          <w:tcPr>
            <w:tcW w:type="dxa" w:w="1900"/>
            <w:vAlign w:val="center"/>
          </w:tcPr>
          <w:p>
            <w:r>
              <w:t>Polygenic addiction liability</w:t>
            </w:r>
          </w:p>
        </w:tc>
        <w:tc>
          <w:tcPr>
            <w:tcW w:type="dxa" w:w="2600"/>
            <w:vAlign w:val="center"/>
          </w:tcPr>
          <w:p>
            <w:r>
              <w:t>deny unsupported action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PGX25</w:t>
            </w:r>
          </w:p>
        </w:tc>
        <w:tc>
          <w:tcPr>
            <w:tcW w:type="dxa" w:w="1900"/>
            <w:vAlign w:val="center"/>
          </w:tcPr>
          <w:p>
            <w:r>
              <w:t>Genome India population transport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PGX26</w:t>
            </w:r>
          </w:p>
        </w:tc>
        <w:tc>
          <w:tcPr>
            <w:tcW w:type="dxa" w:w="1900"/>
            <w:vAlign w:val="center"/>
          </w:tcPr>
          <w:p>
            <w:r>
              <w:t>Israel founder-variant transport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PGX27</w:t>
            </w:r>
          </w:p>
        </w:tc>
        <w:tc>
          <w:tcPr>
            <w:tcW w:type="dxa" w:w="1900"/>
            <w:vAlign w:val="center"/>
          </w:tcPr>
          <w:p>
            <w:r>
              <w:t>All of Us / TOPMed transport</w:t>
            </w:r>
          </w:p>
        </w:tc>
        <w:tc>
          <w:tcPr>
            <w:tcW w:type="dxa" w:w="2600"/>
            <w:vAlign w:val="center"/>
          </w:tcPr>
          <w:p>
            <w:r>
              <w:t>abstain population fit</w:t>
            </w:r>
          </w:p>
        </w:tc>
        <w:tc>
          <w:tcPr>
            <w:tcW w:type="dxa" w:w="2500"/>
            <w:vAlign w:val="center"/>
          </w:tcPr>
          <w:p>
            <w:r>
              <w:t>population fit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PGX28</w:t>
            </w:r>
          </w:p>
        </w:tc>
        <w:tc>
          <w:tcPr>
            <w:tcW w:type="dxa" w:w="1900"/>
            <w:vAlign w:val="center"/>
          </w:tcPr>
          <w:p>
            <w:r>
              <w:t>ClinVar VUS</w:t>
            </w:r>
          </w:p>
        </w:tc>
        <w:tc>
          <w:tcPr>
            <w:tcW w:type="dxa" w:w="2600"/>
            <w:vAlign w:val="center"/>
          </w:tcPr>
          <w:p>
            <w:r>
              <w:t>abstain citation support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PGX29</w:t>
            </w:r>
          </w:p>
        </w:tc>
        <w:tc>
          <w:tcPr>
            <w:tcW w:type="dxa" w:w="1900"/>
            <w:vAlign w:val="center"/>
          </w:tcPr>
          <w:p>
            <w:r>
              <w:t>ClinVar conflicting submissions</w:t>
            </w:r>
          </w:p>
        </w:tc>
        <w:tc>
          <w:tcPr>
            <w:tcW w:type="dxa" w:w="2600"/>
            <w:vAlign w:val="center"/>
          </w:tcPr>
          <w:p>
            <w:r>
              <w:t>abstain citation support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  <w:tr>
        <w:tc>
          <w:tcPr>
            <w:tcW w:type="dxa" w:w="900"/>
            <w:vAlign w:val="center"/>
          </w:tcPr>
          <w:p>
            <w:r>
              <w:t>PGX30</w:t>
            </w:r>
          </w:p>
        </w:tc>
        <w:tc>
          <w:tcPr>
            <w:tcW w:type="dxa" w:w="1900"/>
            <w:vAlign w:val="center"/>
          </w:tcPr>
          <w:p>
            <w:r>
              <w:t>Fabricated guideline citation</w:t>
            </w:r>
          </w:p>
        </w:tc>
        <w:tc>
          <w:tcPr>
            <w:tcW w:type="dxa" w:w="2600"/>
            <w:vAlign w:val="center"/>
          </w:tcPr>
          <w:p>
            <w:r>
              <w:t>deny citation</w:t>
            </w:r>
          </w:p>
        </w:tc>
        <w:tc>
          <w:tcPr>
            <w:tcW w:type="dxa" w:w="2500"/>
            <w:vAlign w:val="center"/>
          </w:tcPr>
          <w:p>
            <w:r>
              <w:t>citation guideline support</w:t>
            </w:r>
          </w:p>
        </w:tc>
        <w:tc>
          <w:tcPr>
            <w:tcW w:type="dxa" w:w="1460"/>
            <w:vAlign w:val="center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30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20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0/20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blocked</w:t>
            </w:r>
          </w:p>
        </w:tc>
        <w:tc>
          <w:tcPr>
            <w:tcW w:type="dxa" w:w="5860"/>
            <w:vAlign w:val="center"/>
          </w:tcPr>
          <w:p>
            <w:r>
              <w:t>20/20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Primary-gate conformance rate</w:t>
            </w:r>
          </w:p>
        </w:tc>
        <w:tc>
          <w:tcPr>
            <w:tcW w:type="dxa" w:w="5860"/>
          </w:tcPr>
          <w:p>
            <w:r>
              <w:t>0.933</w:t>
            </w:r>
          </w:p>
        </w:tc>
      </w:tr>
      <w:tr>
        <w:tc>
          <w:tcPr>
            <w:tcW w:type="dxa" w:w="3500"/>
          </w:tcPr>
          <w:p>
            <w:r>
              <w:t>Gate-precedence mismatches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Gate Ablation Snapshot</w:t>
      </w:r>
    </w:p>
    <w:p>
      <w:r>
        <w:t>One-gate ablations disable exactly one gate while leaving the other two gates active. Counts are synthetic Stage 1 diagnostics, not clinical utility estimates.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Disabled gate</w:t>
            </w:r>
          </w:p>
        </w:tc>
        <w:tc>
          <w:tcPr>
            <w:tcW w:type="dxa" w:w="1958"/>
          </w:tcPr>
          <w:p>
            <w:r>
              <w:t>Overclaims allowed unchanged</w:t>
            </w:r>
          </w:p>
        </w:tc>
        <w:tc>
          <w:tcPr>
            <w:tcW w:type="dxa" w:w="1958"/>
          </w:tcPr>
          <w:p>
            <w:r>
              <w:t>Designed overclaims blocked</w:t>
            </w:r>
          </w:p>
        </w:tc>
        <w:tc>
          <w:tcPr>
            <w:tcW w:type="dxa" w:w="1958"/>
          </w:tcPr>
          <w:p>
            <w:r>
              <w:t>Action changes</w:t>
            </w:r>
          </w:p>
        </w:tc>
        <w:tc>
          <w:tcPr>
            <w:tcW w:type="dxa" w:w="1958"/>
          </w:tcPr>
          <w:p>
            <w:r>
              <w:t>Primary-gate changes</w:t>
            </w:r>
          </w:p>
        </w:tc>
      </w:tr>
      <w:tr>
        <w:tc>
          <w:tcPr>
            <w:tcW w:type="dxa" w:w="1958"/>
          </w:tcPr>
          <w:p>
            <w:r>
              <w:t>Citation/guideline</w:t>
            </w:r>
          </w:p>
        </w:tc>
        <w:tc>
          <w:tcPr>
            <w:tcW w:type="dxa" w:w="1958"/>
          </w:tcPr>
          <w:p>
            <w:r>
              <w:t>0</w:t>
            </w:r>
          </w:p>
        </w:tc>
        <w:tc>
          <w:tcPr>
            <w:tcW w:type="dxa" w:w="1958"/>
          </w:tcPr>
          <w:p>
            <w:r>
              <w:t>20</w:t>
            </w:r>
          </w:p>
        </w:tc>
        <w:tc>
          <w:tcPr>
            <w:tcW w:type="dxa" w:w="1958"/>
          </w:tcPr>
          <w:p>
            <w:r>
              <w:t>5</w:t>
            </w:r>
          </w:p>
        </w:tc>
        <w:tc>
          <w:tcPr>
            <w:tcW w:type="dxa" w:w="1958"/>
          </w:tcPr>
          <w:p>
            <w:r>
              <w:t>10</w:t>
            </w:r>
          </w:p>
        </w:tc>
      </w:tr>
      <w:tr>
        <w:tc>
          <w:tcPr>
            <w:tcW w:type="dxa" w:w="1958"/>
          </w:tcPr>
          <w:p>
            <w:r>
              <w:t>Population fit</w:t>
            </w:r>
          </w:p>
        </w:tc>
        <w:tc>
          <w:tcPr>
            <w:tcW w:type="dxa" w:w="1958"/>
          </w:tcPr>
          <w:p>
            <w:r>
              <w:t>0</w:t>
            </w:r>
          </w:p>
        </w:tc>
        <w:tc>
          <w:tcPr>
            <w:tcW w:type="dxa" w:w="1958"/>
          </w:tcPr>
          <w:p>
            <w:r>
              <w:t>20</w:t>
            </w:r>
          </w:p>
        </w:tc>
        <w:tc>
          <w:tcPr>
            <w:tcW w:type="dxa" w:w="1958"/>
          </w:tcPr>
          <w:p>
            <w:r>
              <w:t>4</w:t>
            </w:r>
          </w:p>
        </w:tc>
        <w:tc>
          <w:tcPr>
            <w:tcW w:type="dxa" w:w="1958"/>
          </w:tcPr>
          <w:p>
            <w:r>
              <w:t>4</w:t>
            </w:r>
          </w:p>
        </w:tc>
      </w:tr>
      <w:tr>
        <w:tc>
          <w:tcPr>
            <w:tcW w:type="dxa" w:w="1958"/>
          </w:tcPr>
          <w:p>
            <w:r>
              <w:t>Endpoint/actionability</w:t>
            </w:r>
          </w:p>
        </w:tc>
        <w:tc>
          <w:tcPr>
            <w:tcW w:type="dxa" w:w="1958"/>
          </w:tcPr>
          <w:p>
            <w:r>
              <w:t>6</w:t>
            </w:r>
          </w:p>
        </w:tc>
        <w:tc>
          <w:tcPr>
            <w:tcW w:type="dxa" w:w="1958"/>
          </w:tcPr>
          <w:p>
            <w:r>
              <w:t>14</w:t>
            </w:r>
          </w:p>
        </w:tc>
        <w:tc>
          <w:tcPr>
            <w:tcW w:type="dxa" w:w="1958"/>
          </w:tcPr>
          <w:p>
            <w:r>
              <w:t>6</w:t>
            </w:r>
          </w:p>
        </w:tc>
        <w:tc>
          <w:tcPr>
            <w:tcW w:type="dxa" w:w="1958"/>
          </w:tcPr>
          <w:p>
            <w:r>
              <w:t>6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52" w:right="1224" w:bottom="1080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