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Module 14 Capstone Paper Outline + Progress Update</w:t>
      </w:r>
    </w:p>
    <w:p>
      <w:pPr>
        <w:spacing w:after="200"/>
      </w:pPr>
      <w:r>
        <w:rPr>
          <w:i/>
          <w:color w:val="555555"/>
        </w:rPr>
        <w:t>Pruned study plan: evidence-gated LLM alerts for pharmacogenomic and genomic claims</w:t>
      </w:r>
    </w:p>
    <w:p>
      <w:pPr>
        <w:spacing w:after="120"/>
      </w:pPr>
      <w:r>
        <w:t>Student: Ravi Bajaj | Date: August 2, 2026 | Course: AI in Healthcare</w:t>
      </w:r>
    </w:p>
    <w:tbl>
      <w:tblPr>
        <w:tblW w:type="auto" w:w="0"/>
        <w:jc w:val="center"/>
        <w:tblLook w:firstColumn="1" w:firstRow="1" w:lastColumn="0" w:lastRow="0" w:noHBand="0" w:noVBand="1" w:val="04A0"/>
        <w:tblBorders>
          <w:top w:val="single" w:sz="4" w:space="0" w:color="B7C9D9"/>
          <w:left w:val="single" w:sz="4" w:space="0" w:color="B7C9D9"/>
          <w:bottom w:val="single" w:sz="4" w:space="0" w:color="B7C9D9"/>
          <w:right w:val="single" w:sz="4" w:space="0" w:color="B7C9D9"/>
          <w:insideH w:val="single" w:sz="4" w:space="0" w:color="B7C9D9"/>
          <w:insideV w:val="single" w:sz="4" w:space="0" w:color="B7C9D9"/>
        </w:tblBorders>
      </w:tblPr>
      <w:tblGrid>
        <w:gridCol w:w="9360"/>
      </w:tblGrid>
      <w:tr>
        <w:tc>
          <w:tcPr>
            <w:tcW w:type="dxa" w:w="9360"/>
            <w:vAlign w:val="center"/>
            <w:shd w:fill="F4F6F9"/>
          </w:tcPr>
          <w:p>
            <w:pPr>
              <w:spacing w:after="40" w:before="0"/>
            </w:pPr>
            <w:r>
              <w:rPr>
                <w:rFonts w:ascii="Calibri" w:hAnsi="Calibri"/>
                <w:b/>
                <w:sz w:val="21"/>
              </w:rPr>
              <w:t>Submission thesis: Stage 1 is pruning. The prior prototype showed implementation consistency across a broad synthetic assurance suite; the capstone-facing paper now narrows to one clinically interpretable workflow, three evidence gates, and an independent-review evaluation plan.</w:t>
            </w:r>
          </w:p>
        </w:tc>
      </w:tr>
    </w:tbl>
    <w:p>
      <w:pPr>
        <w:spacing w:after="40"/>
      </w:pPr>
    </w:p>
    <w:p>
      <w:pPr>
        <w:pStyle w:val="Heading1"/>
      </w:pPr>
      <w:r>
        <w:t>Pruned Working Title</w:t>
      </w:r>
    </w:p>
    <w:p>
      <w:pPr>
        <w:spacing w:after="120"/>
      </w:pPr>
      <w:r>
        <w:t>Evidence-Gated Medical LLM Alerts for Pharmacogenomic Claims: Detecting Overclaiming Relative to Guideline-Supported Evidence</w:t>
      </w:r>
    </w:p>
    <w:p>
      <w:pPr>
        <w:spacing w:after="120"/>
      </w:pPr>
      <w:r>
        <w:t>The project asks whether a pre-display evidence gate can make LLM-generated pharmacogenomic or genomic medication-alert text less likely to overstate what the cited evidence supports. The claim is deliberately modest: the study evaluates construct validity of claim discipline, not clinical outcome improvement.</w:t>
      </w:r>
    </w:p>
    <w:p>
      <w:pPr>
        <w:pStyle w:val="Heading1"/>
      </w:pPr>
      <w:r>
        <w:t>Research Question and Hypothesis</w:t>
      </w:r>
    </w:p>
    <w:p>
      <w:pPr>
        <w:spacing w:after="120"/>
      </w:pPr>
      <w:r>
        <w:t>Research question: When a medical LLM drafts a pharmacogenomic or genomic medication alert, can an evidence-gated controller reduce overclaiming relative to guideline-supported evidence while tracking inappropriate denial?</w:t>
      </w:r>
    </w:p>
    <w:p>
      <w:pPr>
        <w:spacing w:after="120"/>
      </w:pPr>
      <w:r>
        <w:t>Hypothesis: Compared with ungated LLM output, gated output will produce fewer statements that inflate association, surrogate endpoints, population transport, or citation strength into clinical action. The main planned outcomes are overclaim rate, inappropriate denial rate, calibration of claim strength to evidence level, and qualitative error categories.</w:t>
      </w:r>
    </w:p>
    <w:p>
      <w:r>
        <w:br w:type="page"/>
      </w:r>
    </w:p>
    <w:p>
      <w:pPr>
        <w:pStyle w:val="Heading1"/>
      </w:pPr>
      <w:r>
        <w:t>Pruning Map</w:t>
      </w:r>
    </w:p>
    <w:tbl>
      <w:tblPr>
        <w:tblW w:type="auto" w:w="0"/>
        <w:jc w:val="center"/>
        <w:tblLook w:firstColumn="1" w:firstRow="1" w:lastColumn="0" w:lastRow="0" w:noHBand="0" w:noVBand="1" w:val="04A0"/>
        <w:tblBorders>
          <w:top w:val="single" w:sz="4" w:space="0" w:color="B7C9D9"/>
          <w:left w:val="single" w:sz="4" w:space="0" w:color="B7C9D9"/>
          <w:bottom w:val="single" w:sz="4" w:space="0" w:color="B7C9D9"/>
          <w:right w:val="single" w:sz="4" w:space="0" w:color="B7C9D9"/>
          <w:insideH w:val="single" w:sz="4" w:space="0" w:color="B7C9D9"/>
          <w:insideV w:val="single" w:sz="4" w:space="0" w:color="B7C9D9"/>
        </w:tblBorders>
      </w:tblPr>
      <w:tblGrid>
        <w:gridCol w:w="3120"/>
        <w:gridCol w:w="3120"/>
        <w:gridCol w:w="3120"/>
      </w:tblGrid>
      <w:tr>
        <w:tc>
          <w:tcPr>
            <w:tcW w:type="dxa" w:w="2232"/>
            <w:vAlign w:val="center"/>
            <w:shd w:fill="E8EEF5"/>
          </w:tcPr>
          <w:p>
            <w:pPr>
              <w:spacing w:after="40" w:before="0"/>
            </w:pPr>
            <w:r/>
            <w:r>
              <w:rPr>
                <w:rFonts w:ascii="Calibri" w:hAnsi="Calibri"/>
                <w:b/>
                <w:sz w:val="20"/>
              </w:rPr>
              <w:t>Decision</w:t>
            </w:r>
          </w:p>
        </w:tc>
        <w:tc>
          <w:tcPr>
            <w:tcW w:type="dxa" w:w="3528"/>
            <w:vAlign w:val="center"/>
            <w:shd w:fill="E8EEF5"/>
          </w:tcPr>
          <w:p>
            <w:pPr>
              <w:spacing w:after="40" w:before="0"/>
            </w:pPr>
            <w:r/>
            <w:r>
              <w:rPr>
                <w:rFonts w:ascii="Calibri" w:hAnsi="Calibri"/>
                <w:b/>
                <w:sz w:val="20"/>
              </w:rPr>
              <w:t>Kept for the paper</w:t>
            </w:r>
          </w:p>
        </w:tc>
        <w:tc>
          <w:tcPr>
            <w:tcW w:type="dxa" w:w="3600"/>
            <w:vAlign w:val="center"/>
            <w:shd w:fill="E8EEF5"/>
          </w:tcPr>
          <w:p>
            <w:pPr>
              <w:spacing w:after="40" w:before="0"/>
            </w:pPr>
            <w:r/>
            <w:r>
              <w:rPr>
                <w:rFonts w:ascii="Calibri" w:hAnsi="Calibri"/>
                <w:b/>
                <w:sz w:val="20"/>
              </w:rPr>
              <w:t>Deferred or boundary case</w:t>
            </w:r>
          </w:p>
        </w:tc>
      </w:tr>
      <w:tr>
        <w:tc>
          <w:tcPr>
            <w:tcW w:type="dxa" w:w="3120"/>
          </w:tcPr>
          <w:p>
            <w:pPr>
              <w:spacing w:after="40" w:before="0"/>
            </w:pPr>
            <w:r/>
            <w:r>
              <w:rPr>
                <w:rFonts w:ascii="Calibri" w:hAnsi="Calibri"/>
                <w:b/>
                <w:sz w:val="20"/>
              </w:rPr>
              <w:t>Workflow</w:t>
            </w:r>
          </w:p>
        </w:tc>
        <w:tc>
          <w:tcPr>
            <w:tcW w:type="dxa" w:w="3120"/>
          </w:tcPr>
          <w:p>
            <w:pPr>
              <w:spacing w:after="40" w:before="0"/>
            </w:pPr>
            <w:r/>
            <w:r>
              <w:rPr>
                <w:rFonts w:ascii="Calibri" w:hAnsi="Calibri"/>
                <w:b w:val="0"/>
                <w:sz w:val="20"/>
              </w:rPr>
              <w:t>Pharmacogenomic/genomic medication-alert text, especially where CPIC/PharmGKB-style evidence grades can anchor claims.</w:t>
            </w:r>
          </w:p>
        </w:tc>
        <w:tc>
          <w:tcPr>
            <w:tcW w:type="dxa" w:w="3120"/>
          </w:tcPr>
          <w:p>
            <w:pPr>
              <w:spacing w:after="40" w:before="0"/>
            </w:pPr>
            <w:r/>
            <w:r>
              <w:rPr>
                <w:rFonts w:ascii="Calibri" w:hAnsi="Calibri"/>
                <w:b w:val="0"/>
                <w:sz w:val="20"/>
              </w:rPr>
              <w:t>Public-health contact tracing, broad infectious-disease governance, pressure-injury dashboards, and PPH monitors remain future workflows.</w:t>
            </w:r>
          </w:p>
        </w:tc>
      </w:tr>
      <w:tr>
        <w:tc>
          <w:tcPr>
            <w:tcW w:type="dxa" w:w="3120"/>
          </w:tcPr>
          <w:p>
            <w:pPr>
              <w:spacing w:after="40" w:before="0"/>
            </w:pPr>
            <w:r/>
            <w:r>
              <w:rPr>
                <w:rFonts w:ascii="Calibri" w:hAnsi="Calibri"/>
                <w:b/>
                <w:sz w:val="20"/>
              </w:rPr>
              <w:t>Gates</w:t>
            </w:r>
          </w:p>
        </w:tc>
        <w:tc>
          <w:tcPr>
            <w:tcW w:type="dxa" w:w="3120"/>
          </w:tcPr>
          <w:p>
            <w:pPr>
              <w:spacing w:after="40" w:before="0"/>
            </w:pPr>
            <w:r/>
            <w:r>
              <w:rPr>
                <w:rFonts w:ascii="Calibri" w:hAnsi="Calibri"/>
                <w:b w:val="0"/>
                <w:sz w:val="20"/>
              </w:rPr>
              <w:t>Endpoint/actionability, population fit, and citation/guideline support.</w:t>
            </w:r>
          </w:p>
        </w:tc>
        <w:tc>
          <w:tcPr>
            <w:tcW w:type="dxa" w:w="3120"/>
          </w:tcPr>
          <w:p>
            <w:pPr>
              <w:spacing w:after="40" w:before="0"/>
            </w:pPr>
            <w:r/>
            <w:r>
              <w:rPr>
                <w:rFonts w:ascii="Calibri" w:hAnsi="Calibri"/>
                <w:b w:val="0"/>
                <w:sz w:val="20"/>
              </w:rPr>
              <w:t>Differential privacy, social choice, queueing, ZDDs, JL projections, Hex, and random-matrix analogies are removed from the face of the paper.</w:t>
            </w:r>
          </w:p>
        </w:tc>
      </w:tr>
      <w:tr>
        <w:tc>
          <w:tcPr>
            <w:tcW w:type="dxa" w:w="3120"/>
          </w:tcPr>
          <w:p>
            <w:pPr>
              <w:spacing w:after="40" w:before="0"/>
            </w:pPr>
            <w:r/>
            <w:r>
              <w:rPr>
                <w:rFonts w:ascii="Calibri" w:hAnsi="Calibri"/>
                <w:b/>
                <w:sz w:val="20"/>
              </w:rPr>
              <w:t>High-risk examples</w:t>
            </w:r>
          </w:p>
        </w:tc>
        <w:tc>
          <w:tcPr>
            <w:tcW w:type="dxa" w:w="3120"/>
          </w:tcPr>
          <w:p>
            <w:pPr>
              <w:spacing w:after="40" w:before="0"/>
            </w:pPr>
            <w:r/>
            <w:r>
              <w:rPr>
                <w:rFonts w:ascii="Calibri" w:hAnsi="Calibri"/>
                <w:b w:val="0"/>
                <w:sz w:val="20"/>
              </w:rPr>
              <w:t>Opioid pharmacogenomics stays only where metabolism/safety guidance is guideline-grounded, such as CYP2D6-mediated codeine/tramadol language.</w:t>
            </w:r>
          </w:p>
        </w:tc>
        <w:tc>
          <w:tcPr>
            <w:tcW w:type="dxa" w:w="3120"/>
          </w:tcPr>
          <w:p>
            <w:pPr>
              <w:spacing w:after="40" w:before="0"/>
            </w:pPr>
            <w:r/>
            <w:r>
              <w:rPr>
                <w:rFonts w:ascii="Calibri" w:hAnsi="Calibri"/>
                <w:b w:val="0"/>
                <w:sz w:val="20"/>
              </w:rPr>
              <w:t>Claims that genetics can predict addiction liability for opioids or stimulants are treated as red-zone overclaim tests, not as clinical recommendations.</w:t>
            </w:r>
          </w:p>
        </w:tc>
      </w:tr>
      <w:tr>
        <w:tc>
          <w:tcPr>
            <w:tcW w:type="dxa" w:w="3120"/>
          </w:tcPr>
          <w:p>
            <w:pPr>
              <w:spacing w:after="40" w:before="0"/>
            </w:pPr>
            <w:r/>
            <w:r>
              <w:rPr>
                <w:rFonts w:ascii="Calibri" w:hAnsi="Calibri"/>
                <w:b/>
                <w:sz w:val="20"/>
              </w:rPr>
              <w:t>CRISPR</w:t>
            </w:r>
          </w:p>
        </w:tc>
        <w:tc>
          <w:tcPr>
            <w:tcW w:type="dxa" w:w="3120"/>
          </w:tcPr>
          <w:p>
            <w:pPr>
              <w:spacing w:after="40" w:before="0"/>
            </w:pPr>
            <w:r/>
            <w:r>
              <w:rPr>
                <w:rFonts w:ascii="Calibri" w:hAnsi="Calibri"/>
                <w:b w:val="0"/>
                <w:sz w:val="20"/>
              </w:rPr>
              <w:t>Included only as a boundary-case stressor: association does not imply editability or clinical benefit.</w:t>
            </w:r>
          </w:p>
        </w:tc>
        <w:tc>
          <w:tcPr>
            <w:tcW w:type="dxa" w:w="3120"/>
          </w:tcPr>
          <w:p>
            <w:pPr>
              <w:spacing w:after="40" w:before="0"/>
            </w:pPr>
            <w:r/>
            <w:r>
              <w:rPr>
                <w:rFonts w:ascii="Calibri" w:hAnsi="Calibri"/>
                <w:b w:val="0"/>
                <w:sz w:val="20"/>
              </w:rPr>
              <w:t>No wet-lab or gene-editing intervention is proposed.</w:t>
            </w:r>
          </w:p>
        </w:tc>
      </w:tr>
    </w:tbl>
    <w:p>
      <w:pPr>
        <w:pStyle w:val="Heading1"/>
      </w:pPr>
      <w:r>
        <w:t>Progress to Date</w:t>
      </w:r>
    </w:p>
    <w:p>
      <w:pPr>
        <w:pStyle w:val="ListBullet"/>
        <w:spacing w:after="80"/>
        <w:ind w:left="360" w:hanging="216"/>
      </w:pPr>
      <w:r>
        <w:t>Built a reproducible synthetic evidence-gating harness with stress-test cases and deterministic action selection.</w:t>
      </w:r>
    </w:p>
    <w:p>
      <w:pPr>
        <w:pStyle w:val="ListBullet"/>
        <w:spacing w:after="80"/>
        <w:ind w:left="360" w:hanging="216"/>
      </w:pPr>
      <w:r>
        <w:t>Current local verification: 147 tests passed on August 2, 2026.</w:t>
      </w:r>
    </w:p>
    <w:p>
      <w:pPr>
        <w:pStyle w:val="ListBullet"/>
        <w:spacing w:after="80"/>
        <w:ind w:left="360" w:hanging="216"/>
      </w:pPr>
      <w:r>
        <w:t>Current stress-test summary: 30 scenarios, 30/30 matched expected controller actions.</w:t>
      </w:r>
    </w:p>
    <w:p>
      <w:pPr>
        <w:pStyle w:val="ListBullet"/>
        <w:spacing w:after="80"/>
        <w:ind w:left="360" w:hanging="216"/>
      </w:pPr>
      <w:r>
        <w:t>Current model-selection audit: 19 candidate claim models evaluated under an information-criterion style loss that penalizes missing evidence, boundary crossings, complexity, nested dependency burden, and authority risk.</w:t>
      </w:r>
    </w:p>
    <w:p>
      <w:pPr>
        <w:pStyle w:val="ListBullet"/>
        <w:spacing w:after="80"/>
        <w:ind w:left="360" w:hanging="216"/>
      </w:pPr>
      <w:r>
        <w:t>Important limitation: these results demonstrate implementation consistency against author-designed synthetic cases. They do not yet prove independent safety, accuracy, clinical utility, or generalization.</w:t>
      </w:r>
    </w:p>
    <w:p>
      <w:pPr>
        <w:pStyle w:val="Heading1"/>
      </w:pPr>
      <w:r>
        <w:t>Paper Outline</w:t>
      </w:r>
    </w:p>
    <w:p>
      <w:pPr>
        <w:pStyle w:val="ListNumber"/>
        <w:spacing w:after="80"/>
        <w:ind w:left="360" w:hanging="216"/>
      </w:pPr>
      <w:r>
        <w:t>Abstract: concise statement of the overclaiming problem, the pruned workflow, the three gates, and the construct-validity evaluation.</w:t>
      </w:r>
    </w:p>
    <w:p>
      <w:pPr>
        <w:pStyle w:val="ListNumber"/>
        <w:spacing w:after="80"/>
        <w:ind w:left="360" w:hanging="216"/>
      </w:pPr>
      <w:r>
        <w:t>Introduction: explain why fluent medical LLM outputs can sound stronger than the evidence, connecting the course themes of surrogate endpoints, hard outcomes, clinician authority, and adoption.</w:t>
      </w:r>
    </w:p>
    <w:p>
      <w:pPr>
        <w:pStyle w:val="ListNumber"/>
        <w:spacing w:after="80"/>
        <w:ind w:left="360" w:hanging="216"/>
      </w:pPr>
      <w:r>
        <w:t>Background: summarize pharmacogenomic alerting, guideline/evidence grading, citation hallucination, population transport, and the difference between association, mechanism, and intervention.</w:t>
      </w:r>
    </w:p>
    <w:p>
      <w:pPr>
        <w:pStyle w:val="ListNumber"/>
        <w:spacing w:after="80"/>
        <w:ind w:left="360" w:hanging="216"/>
      </w:pPr>
      <w:r>
        <w:t>Methods: create independently authored alert cases; generate ungated LLM drafts; pass drafts through endpoint/actionability, population-fit, and citation/guideline-support gates; have blinded reviewers classify overclaims and inappropriate denials.</w:t>
      </w:r>
    </w:p>
    <w:p>
      <w:pPr>
        <w:pStyle w:val="ListNumber"/>
        <w:spacing w:after="80"/>
        <w:ind w:left="360" w:hanging="216"/>
      </w:pPr>
      <w:r>
        <w:t>Results: report overclaim reduction, inappropriate denial, calibration, interrater agreement, and error categories. Present the existing 30/30 synthetic result only as Stage 1 implementation consistency.</w:t>
      </w:r>
    </w:p>
    <w:p>
      <w:pPr>
        <w:pStyle w:val="ListNumber"/>
        <w:spacing w:after="80"/>
        <w:ind w:left="360" w:hanging="216"/>
      </w:pPr>
      <w:r>
        <w:t>Discussion: identify where gated LLMs can improve claim discipline, where clinical outcome trials would still be required, and why pruning is a safety feature rather than a retreat.</w:t>
      </w:r>
    </w:p>
    <w:p>
      <w:pPr>
        <w:pStyle w:val="Heading1"/>
      </w:pPr>
      <w:r>
        <w:t>Immediate Empirical Plan</w:t>
      </w:r>
    </w:p>
    <w:p>
      <w:pPr>
        <w:spacing w:after="120"/>
      </w:pPr>
      <w:r>
        <w:t>The final paper will replace the broad 30-scenario demonstration with a smaller independent evaluation. The planned case set will contain guideline-supported pharmacogenomic alerts, moderate or population-limited claims, unverifiable citation claims, and red-zone genomic claims such as addiction-liability or CRISPR actionability statements.</w:t>
      </w:r>
    </w:p>
    <w:p>
      <w:pPr>
        <w:spacing w:after="120"/>
      </w:pPr>
      <w:r>
        <w:t>Each case will be evaluated in two arms: ungated LLM output and gated output. Reviewers will be blinded to arm when feasible and will mark whether the alert overclaims evidence, denies an appropriate claim, preserves clinician authority, and states the correct population/endpoint limits. If clinical reviewers are unavailable for pharmacogenomics, the fallback evaluation will be strictly guideline-text adjudication rather than clinical recommendation adjudication.</w:t>
      </w:r>
    </w:p>
    <w:p>
      <w:pPr>
        <w:pStyle w:val="Heading1"/>
      </w:pPr>
      <w:r>
        <w:t>Why This Version Is Cohesive</w:t>
      </w:r>
    </w:p>
    <w:p>
      <w:pPr>
        <w:spacing w:after="120"/>
      </w:pPr>
      <w:r>
        <w:t>The project no longer tries to prove a universal theory of medical AI assurance. It studies one recurring failure mode: LLMs compress weak, noisy, population-limited, or surrogate evidence into authoritative clinical language. Biophysics and systems biology remain useful background because they sharpen the distinction between measurement, mechanism, and intervention. They do not add a new branch to the methods.</w:t>
      </w:r>
    </w:p>
    <w:p>
      <w:pPr>
        <w:spacing w:after="120"/>
      </w:pPr>
      <w:r>
        <w:t>Pruning is therefore the main methodological move: connections that are interesting but not necessary for the defined workflow are left out of the primary paper. They can appear, at most, as future work or as brief examples explaining why the gate must remain conservative.</w:t>
      </w:r>
    </w:p>
    <w:p>
      <w:pPr>
        <w:pStyle w:val="Heading1"/>
      </w:pPr>
      <w:r>
        <w:t>Generative AI Use</w:t>
      </w:r>
    </w:p>
    <w:p>
      <w:pPr>
        <w:spacing w:after="120"/>
      </w:pPr>
      <w:r>
        <w:t>Generative AI tools were used to brainstorm candidate framings, critique overbreadth, draft text, and help organize the artifact. The student selected the final scope, checked sources, ran local verification, and remains responsible for all submitted claims.</w:t>
      </w:r>
    </w:p>
    <w:p>
      <w:pPr>
        <w:pStyle w:val="Heading1"/>
      </w:pPr>
      <w:r>
        <w:t>Key Sources Checked</w:t>
      </w:r>
    </w:p>
    <w:p>
      <w:pPr>
        <w:spacing w:after="40"/>
      </w:pPr>
      <w:r>
        <w:rPr>
          <w:rFonts w:ascii="Calibri" w:hAnsi="Calibri"/>
          <w:color w:val="555555"/>
          <w:sz w:val="19"/>
        </w:rPr>
        <w:t>Checked anchors as of August 2, 2026: CPIC/ClinPGx pharmacogenomic guideline materials; PharmGKB/ClinPGx evidence-level documentation; CDC NCHS overdose mortality data; CDC MMWR stimulant-involved overdose analysis; Bialek's biophysics text; and Alon's systems-biology design-principles text.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7"/>
      </w:rPr>
      <w:t>Ravi Bajaj - Module 14 Capstone Progress - August 2,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color w:val="1F4D7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