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Module 14 Capstone Paper Outline + Progress Update</w:t>
      </w:r>
    </w:p>
    <w:p>
      <w:pPr>
        <w:spacing w:after="200"/>
      </w:pPr>
      <w:r>
        <w:rPr>
          <w:i/>
          <w:color w:val="555555"/>
        </w:rPr>
        <w:t>Pruned study plan: evidence-gated LLM alerts for pharmacogenomic and genomic claims</w:t>
      </w:r>
    </w:p>
    <w:p>
      <w:pPr/>
      <w:r>
        <w:t>Revision note: This is the v2 updated progress record prepared on August 8, 2026. It preserves the August 2 course date in the original metadata but updates the repo-facing status from the submitted broad progress report to the pruned 33-case evidence-gate package with 9 focused tests and one-gate ablations. The original submitted v1 file is retained separately in this folder.</w:t>
      </w:r>
    </w:p>
    <w:p>
      <w:pPr>
        <w:spacing w:after="120"/>
      </w:pPr>
      <w:r>
        <w:t>Student: Ravi Bajaj | Date: August 2, 2026 | Course: AI in Healthcare</w:t>
      </w:r>
    </w:p>
    <w:tbl>
      <w:tblPr>
        <w:tblW w:type="auto" w:w="0"/>
        <w:jc w:val="center"/>
        <w:tblLook w:firstColumn="1" w:firstRow="1" w:lastColumn="0" w:lastRow="0" w:noHBand="0" w:noVBand="1" w:val="04A0"/>
        <w:tblBorders>
          <w:top w:val="single" w:sz="4" w:space="0" w:color="B7C9D9"/>
          <w:left w:val="single" w:sz="4" w:space="0" w:color="B7C9D9"/>
          <w:bottom w:val="single" w:sz="4" w:space="0" w:color="B7C9D9"/>
          <w:right w:val="single" w:sz="4" w:space="0" w:color="B7C9D9"/>
          <w:insideH w:val="single" w:sz="4" w:space="0" w:color="B7C9D9"/>
          <w:insideV w:val="single" w:sz="4" w:space="0" w:color="B7C9D9"/>
        </w:tblBorders>
      </w:tblPr>
      <w:tblGrid>
        <w:gridCol w:w="9360"/>
      </w:tblGrid>
      <w:tr>
        <w:tc>
          <w:tcPr>
            <w:tcW w:type="dxa" w:w="9360"/>
            <w:vAlign w:val="center"/>
            <w:shd w:fill="F4F6F9"/>
          </w:tcPr>
          <w:p>
            <w:pPr>
              <w:spacing w:after="40" w:before="0"/>
            </w:pPr>
            <w:r>
              <w:rPr>
                <w:rFonts w:ascii="Calibri" w:hAnsi="Calibri"/>
                <w:b/>
                <w:sz w:val="21"/>
              </w:rPr>
              <w:t>Submission thesis: Stage 1 is pruning. The prior prototype showed implementation consistency across a broad synthetic assurance suite; the capstone-facing paper now narrows to one clinically interpretable workflow, three evidence gates, and an independent-review evaluation plan.</w:t>
            </w:r>
          </w:p>
        </w:tc>
      </w:tr>
    </w:tbl>
    <w:p>
      <w:pPr>
        <w:spacing w:after="40"/>
      </w:pPr>
    </w:p>
    <w:p>
      <w:pPr>
        <w:pStyle w:val="Heading1"/>
      </w:pPr>
      <w:r>
        <w:t>Pruned Working Title</w:t>
      </w:r>
    </w:p>
    <w:p>
      <w:pPr>
        <w:spacing w:after="120"/>
      </w:pPr>
      <w:r>
        <w:t>Evidence-Gated Medical LLM Alerts for Pharmacogenomic Claims: Detecting Overclaiming Relative to Guideline-Supported Evidence</w:t>
      </w:r>
    </w:p>
    <w:p>
      <w:pPr>
        <w:spacing w:after="120"/>
      </w:pPr>
      <w:r>
        <w:t>The project asks whether a pre-display evidence gate can make LLM-generated pharmacogenomic or genomic medication-alert text less likely to overstate what the cited evidence supports. The claim is deliberately modest: Stage 1 evaluates specification conformance on author-designed synthetic archetypes, not clinical outcome improvement.</w:t>
      </w:r>
    </w:p>
    <w:p>
      <w:pPr>
        <w:pStyle w:val="Heading1"/>
      </w:pPr>
      <w:r>
        <w:t>Research Question and Hypothesis</w:t>
      </w:r>
    </w:p>
    <w:p>
      <w:pPr>
        <w:spacing w:after="120"/>
      </w:pPr>
      <w:r>
        <w:t>Research question: When a medical LLM drafts a pharmacogenomic or genomic medication alert, can an evidence-gated controller reduce overclaiming relative to guideline-supported evidence while tracking inappropriate denial?</w:t>
      </w:r>
    </w:p>
    <w:p>
      <w:pPr>
        <w:spacing w:after="120"/>
      </w:pPr>
      <w:r>
        <w:t>Hypothesis: Compared with ungated LLM output, gated output will produce fewer statements that inflate association, surrogate endpoints, population transport, or citation strength into clinical action. The main planned outcomes are overclaim rate, inappropriate denial rate, calibration of claim strength to evidence level, and qualitative error categories.</w:t>
      </w:r>
    </w:p>
    <w:p>
      <w:r>
        <w:br w:type="page"/>
      </w:r>
    </w:p>
    <w:p>
      <w:pPr>
        <w:pStyle w:val="Heading1"/>
      </w:pPr>
      <w:r>
        <w:t>Pruning Map</w:t>
      </w:r>
    </w:p>
    <w:tbl>
      <w:tblPr>
        <w:tblW w:type="auto" w:w="0"/>
        <w:jc w:val="center"/>
        <w:tblLook w:firstColumn="1" w:firstRow="1" w:lastColumn="0" w:lastRow="0" w:noHBand="0" w:noVBand="1" w:val="04A0"/>
        <w:tblBorders>
          <w:top w:val="single" w:sz="4" w:space="0" w:color="B7C9D9"/>
          <w:left w:val="single" w:sz="4" w:space="0" w:color="B7C9D9"/>
          <w:bottom w:val="single" w:sz="4" w:space="0" w:color="B7C9D9"/>
          <w:right w:val="single" w:sz="4" w:space="0" w:color="B7C9D9"/>
          <w:insideH w:val="single" w:sz="4" w:space="0" w:color="B7C9D9"/>
          <w:insideV w:val="single" w:sz="4" w:space="0" w:color="B7C9D9"/>
        </w:tblBorders>
      </w:tblPr>
      <w:tblGrid>
        <w:gridCol w:w="3120"/>
        <w:gridCol w:w="3120"/>
        <w:gridCol w:w="3120"/>
      </w:tblGrid>
      <w:tr>
        <w:tc>
          <w:tcPr>
            <w:tcW w:type="dxa" w:w="2232"/>
            <w:vAlign w:val="center"/>
            <w:shd w:fill="E8EEF5"/>
          </w:tcPr>
          <w:p>
            <w:pPr>
              <w:spacing w:after="40" w:before="0"/>
            </w:pPr>
            <w:r/>
            <w:r>
              <w:rPr>
                <w:rFonts w:ascii="Calibri" w:hAnsi="Calibri"/>
                <w:b/>
                <w:sz w:val="20"/>
              </w:rPr>
              <w:t>Decision</w:t>
            </w:r>
          </w:p>
        </w:tc>
        <w:tc>
          <w:tcPr>
            <w:tcW w:type="dxa" w:w="3528"/>
            <w:vAlign w:val="center"/>
            <w:shd w:fill="E8EEF5"/>
          </w:tcPr>
          <w:p>
            <w:pPr>
              <w:spacing w:after="40" w:before="0"/>
            </w:pPr>
            <w:r/>
            <w:r>
              <w:rPr>
                <w:rFonts w:ascii="Calibri" w:hAnsi="Calibri"/>
                <w:b/>
                <w:sz w:val="20"/>
              </w:rPr>
              <w:t>Kept for the paper</w:t>
            </w:r>
          </w:p>
        </w:tc>
        <w:tc>
          <w:tcPr>
            <w:tcW w:type="dxa" w:w="3600"/>
            <w:vAlign w:val="center"/>
            <w:shd w:fill="E8EEF5"/>
          </w:tcPr>
          <w:p>
            <w:pPr>
              <w:spacing w:after="40" w:before="0"/>
            </w:pPr>
            <w:r/>
            <w:r>
              <w:rPr>
                <w:rFonts w:ascii="Calibri" w:hAnsi="Calibri"/>
                <w:b/>
                <w:sz w:val="20"/>
              </w:rPr>
              <w:t>Deferred or boundary case</w:t>
            </w:r>
          </w:p>
        </w:tc>
      </w:tr>
      <w:tr>
        <w:tc>
          <w:tcPr>
            <w:tcW w:type="dxa" w:w="3120"/>
          </w:tcPr>
          <w:p>
            <w:pPr>
              <w:spacing w:after="40" w:before="0"/>
            </w:pPr>
            <w:r/>
            <w:r>
              <w:rPr>
                <w:rFonts w:ascii="Calibri" w:hAnsi="Calibri"/>
                <w:b/>
                <w:sz w:val="20"/>
              </w:rPr>
              <w:t>Workflow</w:t>
            </w:r>
          </w:p>
        </w:tc>
        <w:tc>
          <w:tcPr>
            <w:tcW w:type="dxa" w:w="3120"/>
          </w:tcPr>
          <w:p>
            <w:pPr>
              <w:spacing w:after="40" w:before="0"/>
            </w:pPr>
            <w:r/>
            <w:r>
              <w:rPr>
                <w:rFonts w:ascii="Calibri" w:hAnsi="Calibri"/>
                <w:b w:val="0"/>
                <w:sz w:val="20"/>
              </w:rPr>
              <w:t>Pharmacogenomic/genomic medication-alert text, especially where CPIC/PharmGKB-style evidence grades can anchor claims.</w:t>
            </w:r>
          </w:p>
        </w:tc>
        <w:tc>
          <w:tcPr>
            <w:tcW w:type="dxa" w:w="3120"/>
          </w:tcPr>
          <w:p>
            <w:r>
              <w:t>Other clinical workflows are outside this submission-facing paper.</w:t>
            </w:r>
          </w:p>
        </w:tc>
      </w:tr>
      <w:tr>
        <w:tc>
          <w:tcPr>
            <w:tcW w:type="dxa" w:w="3120"/>
          </w:tcPr>
          <w:p>
            <w:pPr>
              <w:spacing w:after="40" w:before="0"/>
            </w:pPr>
            <w:r/>
            <w:r>
              <w:rPr>
                <w:rFonts w:ascii="Calibri" w:hAnsi="Calibri"/>
                <w:b/>
                <w:sz w:val="20"/>
              </w:rPr>
              <w:t>Gates</w:t>
            </w:r>
          </w:p>
        </w:tc>
        <w:tc>
          <w:tcPr>
            <w:tcW w:type="dxa" w:w="3120"/>
          </w:tcPr>
          <w:p>
            <w:r>
              <w:t>Citation/guideline support, population fit, and endpoint/actionability.</w:t>
            </w:r>
          </w:p>
        </w:tc>
        <w:tc>
          <w:tcPr>
            <w:tcW w:type="dxa" w:w="3120"/>
          </w:tcPr>
          <w:p>
            <w:r>
              <w:t>Other mathematical, privacy, and governance analogies are outside this submission-facing paper.</w:t>
            </w:r>
          </w:p>
        </w:tc>
      </w:tr>
      <w:tr>
        <w:tc>
          <w:tcPr>
            <w:tcW w:type="dxa" w:w="3120"/>
          </w:tcPr>
          <w:p>
            <w:pPr>
              <w:spacing w:after="40" w:before="0"/>
            </w:pPr>
            <w:r/>
            <w:r>
              <w:rPr>
                <w:rFonts w:ascii="Calibri" w:hAnsi="Calibri"/>
                <w:b/>
                <w:sz w:val="20"/>
              </w:rPr>
              <w:t>High-risk examples</w:t>
            </w:r>
          </w:p>
        </w:tc>
        <w:tc>
          <w:tcPr>
            <w:tcW w:type="dxa" w:w="3120"/>
          </w:tcPr>
          <w:p>
            <w:pPr>
              <w:spacing w:after="40" w:before="0"/>
            </w:pPr>
            <w:r/>
            <w:r>
              <w:rPr>
                <w:rFonts w:ascii="Calibri" w:hAnsi="Calibri"/>
                <w:b w:val="0"/>
                <w:sz w:val="20"/>
              </w:rPr>
              <w:t>Opioid pharmacogenomics stays only where metabolism/safety guidance is guideline-grounded, such as CYP2D6-mediated codeine/tramadol language.</w:t>
            </w:r>
          </w:p>
        </w:tc>
        <w:tc>
          <w:tcPr>
            <w:tcW w:type="dxa" w:w="3120"/>
          </w:tcPr>
          <w:p>
            <w:pPr>
              <w:spacing w:after="40" w:before="0"/>
            </w:pPr>
            <w:r/>
            <w:r>
              <w:rPr>
                <w:rFonts w:ascii="Calibri" w:hAnsi="Calibri"/>
                <w:b w:val="0"/>
                <w:sz w:val="20"/>
              </w:rPr>
              <w:t>Claims that genetics can predict addiction liability for opioids or stimulants are treated as red-zone overclaim tests, not as clinical recommendations.</w:t>
            </w:r>
          </w:p>
        </w:tc>
      </w:tr>
      <w:tr>
        <w:tc>
          <w:tcPr>
            <w:tcW w:type="dxa" w:w="3120"/>
          </w:tcPr>
          <w:p>
            <w:r>
              <w:t>Boundary interventions</w:t>
            </w:r>
          </w:p>
        </w:tc>
        <w:tc>
          <w:tcPr>
            <w:tcW w:type="dxa" w:w="3120"/>
          </w:tcPr>
          <w:p>
            <w:r>
              <w:t>Included only as unsupported-action stressors when an association is inflated into an intervention claim.</w:t>
            </w:r>
          </w:p>
        </w:tc>
        <w:tc>
          <w:tcPr>
            <w:tcW w:type="dxa" w:w="3120"/>
          </w:tcPr>
          <w:p>
            <w:r>
              <w:t>No wet-lab, gene-editing, or treatment intervention is proposed.</w:t>
            </w:r>
          </w:p>
        </w:tc>
      </w:tr>
    </w:tbl>
    <w:p>
      <w:pPr>
        <w:pStyle w:val="Heading1"/>
      </w:pPr>
      <w:r>
        <w:t>Progress to Date</w:t>
      </w:r>
    </w:p>
    <w:p>
      <w:pPr>
        <w:pStyle w:val="ListBullet"/>
        <w:spacing w:after="80"/>
        <w:ind w:left="360" w:hanging="216"/>
      </w:pPr>
      <w:r>
        <w:t>Built a reproducible synthetic evidence-gating harness with stress-test cases and deterministic action selection.</w:t>
      </w:r>
    </w:p>
    <w:p>
      <w:pPr>
        <w:pStyle w:val="ListBullet"/>
        <w:spacing w:after="80"/>
        <w:ind w:left="360" w:hanging="216"/>
      </w:pPr>
      <w:r>
        <w:t>Current local verification: 9 focused tests pass for the standalone pruned evidence-gate evaluator, including a regression test that flips an expected-action label to confirm the controller output is label-independent.</w:t>
      </w:r>
    </w:p>
    <w:p>
      <w:pPr>
        <w:pStyle w:val="ListBullet"/>
        <w:spacing w:after="80"/>
        <w:ind w:left="360" w:hanging="216"/>
      </w:pPr>
      <w:r>
        <w:t>Current specification-conformance summary: 33/33 action conformance and 31/33 primary-gate conformance on author-designed scenarios. PGX19 and PGX24 reveal citation-first gate precedence.</w:t>
      </w:r>
    </w:p>
    <w:p>
      <w:pPr>
        <w:pStyle w:val="ListBullet"/>
      </w:pPr>
      <w:r>
        <w:t>One-gate ablation added: disabling citation/guideline support allows 2/23 designed overclaims through unchanged, disabling population fit allows 1/23 through, and disabling endpoint/actionability allows 6/23 through.</w:t>
      </w:r>
    </w:p>
    <w:p>
      <w:pPr>
        <w:pStyle w:val="ListBullet"/>
        <w:spacing w:after="80"/>
        <w:ind w:left="360" w:hanging="216"/>
      </w:pPr>
      <w:r>
        <w:t>Current scope audit: the package keeps one workflow, three gates, one synthetic case bank, and a future independent-review plan.</w:t>
      </w:r>
    </w:p>
    <w:p>
      <w:pPr>
        <w:pStyle w:val="ListBullet"/>
        <w:spacing w:after="80"/>
        <w:ind w:left="360" w:hanging="216"/>
      </w:pPr>
      <w:r>
        <w:t>Important limitation: these results demonstrate implementation consistency against author-designed synthetic archetypes. The controller consumes structured evidence annotations and does not yet extract them from LLM text, citations, or EHR context.</w:t>
      </w:r>
    </w:p>
    <w:p>
      <w:pPr>
        <w:pStyle w:val="Heading1"/>
      </w:pPr>
      <w:r>
        <w:t>Paper Outline</w:t>
      </w:r>
    </w:p>
    <w:p>
      <w:pPr>
        <w:pStyle w:val="ListNumber"/>
        <w:spacing w:after="80"/>
        <w:ind w:left="360" w:hanging="216"/>
      </w:pPr>
      <w:r>
        <w:t>Abstract: concise statement of the overclaiming problem, the pruned workflow, the three gates, and the Stage 1 specification-conformance scaffold.</w:t>
      </w:r>
    </w:p>
    <w:p>
      <w:pPr>
        <w:pStyle w:val="ListNumber"/>
        <w:spacing w:after="80"/>
        <w:ind w:left="360" w:hanging="216"/>
      </w:pPr>
      <w:r>
        <w:t>Introduction: explain why fluent medical LLM outputs can sound stronger than the evidence, connecting surrogate endpoints, hard outcomes, clinician authority, fairness, and adoption.</w:t>
      </w:r>
    </w:p>
    <w:p>
      <w:pPr>
        <w:pStyle w:val="ListNumber"/>
        <w:spacing w:after="80"/>
        <w:ind w:left="360" w:hanging="216"/>
      </w:pPr>
      <w:r>
        <w:t>Background: summarize pharmacogenomic alerting, guideline/evidence grading, citation hallucination, population transport, and the difference between association, mechanism, and intervention.</w:t>
      </w:r>
    </w:p>
    <w:p>
      <w:pPr>
        <w:pStyle w:val="ListNumber"/>
        <w:spacing w:after="80"/>
        <w:ind w:left="360" w:hanging="216"/>
      </w:pPr>
      <w:r>
        <w:t>Methods: create independently authored alert cases; generate ungated LLM drafts; pass drafts through endpoint/actionability, population-fit, and citation/guideline-support gates; have blinded reviewers classify overclaims and inappropriate denials.</w:t>
      </w:r>
    </w:p>
    <w:p>
      <w:pPr>
        <w:pStyle w:val="ListNumber"/>
        <w:spacing w:after="80"/>
        <w:ind w:left="360" w:hanging="216"/>
      </w:pPr>
      <w:r>
        <w:t>Results: report overclaim reduction, inappropriate denial, calibration, interrater agreement, and error categories for Stage 2. Present the existing synthetic result only as Stage 1 specification conformance.</w:t>
      </w:r>
    </w:p>
    <w:p>
      <w:pPr>
        <w:pStyle w:val="ListNumber"/>
        <w:spacing w:after="80"/>
        <w:ind w:left="360" w:hanging="216"/>
      </w:pPr>
      <w:r>
        <w:t>Discussion: identify where gated LLMs can improve claim discipline, where clinical outcome trials would still be required, and why pruning is a safety feature rather than a retreat.</w:t>
      </w:r>
    </w:p>
    <w:p>
      <w:pPr>
        <w:pStyle w:val="Heading1"/>
      </w:pPr>
      <w:r>
        <w:t>Immediate Empirical Plan</w:t>
      </w:r>
    </w:p>
    <w:p>
      <w:pPr>
        <w:spacing w:after="120"/>
      </w:pPr>
      <w:r>
        <w:t>The final paper frames Stage 1 as a specification-conformance scaffold and Stage 2 as the independent evaluation needed for clinical interpretation.</w:t>
      </w:r>
    </w:p>
    <w:p>
      <w:pPr>
        <w:spacing w:after="120"/>
      </w:pPr>
      <w:r>
        <w:t>Each case will be evaluated in two arms: ungated LLM output and gated output. Reviewers will be blinded to arm when feasible and will mark whether the alert overclaims evidence, denies an appropriate claim, preserves clinician authority, and states the correct population/endpoint limits. If clinical reviewers are unavailable for pharmacogenomics, the fallback evaluation will be strictly guideline-text adjudication rather than clinical recommendation adjudication.</w:t>
      </w:r>
    </w:p>
    <w:p>
      <w:pPr>
        <w:pStyle w:val="Heading1"/>
      </w:pPr>
      <w:r>
        <w:t>Why This Version Is Cohesive</w:t>
      </w:r>
    </w:p>
    <w:p>
      <w:pPr>
        <w:spacing w:after="120"/>
      </w:pPr>
      <w:r>
        <w:t>The project no longer tries to prove a universal theory of medical AI assurance. It studies one recurring failure mode: LLMs compress weak, noisy, population-limited, or surrogate evidence into authoritative clinical language. That keeps the methods tied to the medication-alert workflow rather than adding another conceptual branch.</w:t>
      </w:r>
    </w:p>
    <w:p>
      <w:pPr>
        <w:spacing w:after="120"/>
      </w:pPr>
      <w:r>
        <w:t>Pruning is therefore the main methodological move: connections that are interesting but not necessary for the defined workflow are left out of the primary paper. They can appear, at most, as future work or as brief examples explaining why the gate must remain conservative.</w:t>
      </w:r>
    </w:p>
    <w:p>
      <w:pPr>
        <w:pStyle w:val="Heading1"/>
      </w:pPr>
      <w:r>
        <w:t>Generative AI Use</w:t>
      </w:r>
    </w:p>
    <w:p>
      <w:pPr>
        <w:spacing w:after="120"/>
      </w:pPr>
      <w:r>
        <w:t>Generative AI tools were used to brainstorm candidate framings, critique overbreadth, draft text, and help organize the artifact. The student selected the final scope, checked sources, ran local verification, and remains responsible for all submitted claims.</w:t>
      </w:r>
    </w:p>
    <w:p>
      <w:pPr>
        <w:pStyle w:val="Heading1"/>
      </w:pPr>
      <w:r>
        <w:t>Key Sources Checked</w:t>
      </w:r>
    </w:p>
    <w:p>
      <w:pPr>
        <w:spacing w:after="40"/>
      </w:pPr>
      <w:r>
        <w:rPr>
          <w:rFonts w:ascii="Calibri" w:hAnsi="Calibri"/>
          <w:color w:val="555555"/>
          <w:sz w:val="19"/>
        </w:rPr>
        <w:t>Checked anchors as of August 8, 2026: ML4H 2026 call and writing guidelines; CPIC/ClinPGx pharmacogenomic guideline materials; PharmGKB/ClinPGx evidence-level documentation; FDA-NIH BEST endpoint definitions; ClinVar, gnomAD, All of Us, Genome India, and Psifas/Mosaic as resource examples for variant and population-fit boundaries.</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55555"/>
        <w:sz w:val="17"/>
      </w:rPr>
      <w:t>Ravi Bajaj - Module 14 Capstone Progress - August 2,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contextualSpacing/>
    </w:pPr>
    <w:rPr>
      <w:rFonts w:asciiTheme="majorHAnsi" w:eastAsiaTheme="majorEastAsia" w:hAnsiTheme="majorHAnsi" w:cstheme="majorBidi" w:ascii="Calibri" w:hAnsi="Calibri"/>
      <w:color w:val="1F4D78"/>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