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1F4D78"/>
          <w:sz w:val="38"/>
        </w:rPr>
        <w:t>Research Proposal</w:t>
      </w:r>
    </w:p>
    <w:p>
      <w:pPr>
        <w:spacing w:after="80"/>
      </w:pPr>
      <w:r>
        <w:rPr>
          <w:rFonts w:ascii="Calibri" w:hAnsi="Calibri"/>
          <w:i/>
          <w:color w:val="555555"/>
          <w:sz w:val="23"/>
        </w:rPr>
        <w:t>Evidence-Gated Medical LLM Alerts for Pharmacogenomic Claims</w:t>
      </w:r>
    </w:p>
    <w:p>
      <w:pPr>
        <w:spacing w:after="240"/>
      </w:pPr>
      <w:r>
        <w:rPr>
          <w:rFonts w:ascii="Calibri" w:hAnsi="Calibri"/>
          <w:color w:val="555555"/>
          <w:sz w:val="19"/>
        </w:rPr>
        <w:t>Author: Ravi Bajaj | Target venue: ML4H 2026 | Course: AI in Healthcare</w:t>
      </w:r>
    </w:p>
    <w:p>
      <w:r>
        <w:rPr>
          <w:rFonts w:ascii="Calibri" w:hAnsi="Calibri"/>
          <w:b/>
        </w:rPr>
        <w:t>Thesis: This project studies one clinically interpretable workflow: LLM-drafted pharmacogenomic or genomic medication-alert text. The evaluation asks whether a pre-display evidence gate can reduce overclaiming relative to guideline-supported evidence without inappropriately denying bounded, aligned alerts.</w:t>
      </w:r>
      <w:r>
        <w:rPr>
          <w:rFonts w:ascii="Calibri" w:hAnsi="Calibri"/>
        </w:rPr>
      </w:r>
    </w:p>
    <w:p>
      <w:pPr>
        <w:pStyle w:val="Heading1"/>
      </w:pPr>
      <w:r>
        <w:t>Problem Statement</w:t>
      </w:r>
    </w:p>
    <w:p>
      <w:r>
        <w:rPr>
          <w:rFonts w:ascii="Calibri" w:hAnsi="Calibri"/>
        </w:rPr>
        <w:t>Medical LLMs can sound authoritative even when the evidence only supports a narrower statement. In pharmacogenomics this matters because a real guideline, a verified citation, a population-frequency result, or a variant assertion may support a medication-safety note without proving broad patient-outcome benefit, universal population transport, or deterministic action.</w:t>
      </w:r>
    </w:p>
    <w:p>
      <w:pPr>
        <w:pStyle w:val="Heading1"/>
      </w:pPr>
      <w:r>
        <w:t>Hypothesis</w:t>
      </w:r>
    </w:p>
    <w:p>
      <w:r>
        <w:rPr>
          <w:rFonts w:ascii="Calibri" w:hAnsi="Calibri"/>
        </w:rPr>
        <w:t>Compared with ungated LLM alert text, a three-gate controller should reduce evidence overclaiming while tracking inappropriate denial in a future independent evaluation. The supported Stage 1 claim is narrower: the implementation follows its intended action grammar on author-designed synthetic archetypes, while also exposing two primary-gate precedence mismatches.</w:t>
      </w:r>
    </w:p>
    <w:p>
      <w:pPr>
        <w:pStyle w:val="Heading1"/>
      </w:pPr>
      <w:r>
        <w:t>Methods</w:t>
      </w:r>
    </w:p>
    <w:p>
      <w:pPr>
        <w:pStyle w:val="ListBullet"/>
        <w:spacing w:after="60"/>
      </w:pPr>
      <w:r>
        <w:rPr>
          <w:rFonts w:ascii="Calibri" w:hAnsi="Calibri"/>
        </w:rPr>
        <w:t>Workflow: pharmacogenomic/genomic medication-alert text, including medication-gene pairs and variant assertions relevant to prescribing or safety review.</w:t>
      </w:r>
    </w:p>
    <w:p>
      <w:pPr>
        <w:pStyle w:val="ListBullet"/>
        <w:spacing w:after="60"/>
      </w:pPr>
      <w:r>
        <w:t>Gates: citation/guideline support, population fit, and endpoint/actionability.</w:t>
      </w:r>
    </w:p>
    <w:p>
      <w:pPr>
        <w:pStyle w:val="ListBullet"/>
        <w:spacing w:after="60"/>
      </w:pPr>
      <w:r>
        <w:t>Stage 1: 33 author-designed synthetic cases with expected decisions; executable controller reports action conformance, primary-gate conformance, designed overclaim archetypes blocked, bounded alerts allowed, inappropriate denial, one-gate ablation, and gate-precedence error categories. Stage 1 consumes structured evidence annotations only; free-text extraction is out of scope.</w:t>
      </w:r>
    </w:p>
    <w:p>
      <w:pPr>
        <w:pStyle w:val="ListBullet"/>
        <w:spacing w:after="60"/>
      </w:pPr>
      <w:r>
        <w:rPr>
          <w:rFonts w:ascii="Calibri" w:hAnsi="Calibri"/>
        </w:rPr>
        <w:t>Stage 2: replace author-designed cases with independently authored cases and blinded reviewer adjudication by qualified clinicians or pharmacogenomics reviewers.</w:t>
      </w:r>
    </w:p>
    <w:p>
      <w:pPr>
        <w:pStyle w:val="Heading1"/>
      </w:pPr>
      <w:r>
        <w:t>Stage 1 Progress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200"/>
        <w:gridCol w:w="1700"/>
        <w:gridCol w:w="5460"/>
      </w:tblGrid>
      <w:tr>
        <w:tc>
          <w:tcPr>
            <w:tcW w:type="dxa" w:w="22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Metric</w:t>
            </w:r>
          </w:p>
        </w:tc>
        <w:tc>
          <w:tcPr>
            <w:tcW w:type="dxa" w:w="17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Current result</w:t>
            </w:r>
          </w:p>
        </w:tc>
        <w:tc>
          <w:tcPr>
            <w:tcW w:type="dxa" w:w="546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Interpretation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Cases</w:t>
            </w:r>
          </w:p>
        </w:tc>
        <w:tc>
          <w:tcPr>
            <w:tcW w:type="dxa" w:w="1700"/>
            <w:vAlign w:val="center"/>
          </w:tcPr>
          <w:p>
            <w:r>
              <w:t>33</w:t>
            </w:r>
          </w:p>
        </w:tc>
        <w:tc>
          <w:tcPr>
            <w:tcW w:type="dxa" w:w="5460"/>
            <w:vAlign w:val="center"/>
          </w:tcPr>
          <w:p>
            <w:r>
              <w:t>Synthetic case bank for the pruned workflow, including three isolating gate cases.</w:t>
            </w:r>
          </w:p>
        </w:tc>
      </w:tr>
      <w:tr>
        <w:tc>
          <w:tcPr>
            <w:tcW w:type="dxa" w:w="2200"/>
            <w:vAlign w:val="center"/>
          </w:tcPr>
          <w:p>
            <w:r>
              <w:t>Author-designed overclaim share</w:t>
            </w:r>
          </w:p>
        </w:tc>
        <w:tc>
          <w:tcPr>
            <w:tcW w:type="dxa" w:w="1700"/>
            <w:vAlign w:val="center"/>
          </w:tcPr>
          <w:p>
            <w:r>
              <w:t>23/33</w:t>
            </w:r>
          </w:p>
        </w:tc>
        <w:tc>
          <w:tcPr>
            <w:tcW w:type="dxa" w:w="5460"/>
            <w:vAlign w:val="center"/>
          </w:tcPr>
          <w:p>
            <w:r>
              <w:t>Stress-test coverage, not a measured clinical base rate.</w:t>
            </w:r>
          </w:p>
        </w:tc>
      </w:tr>
      <w:tr>
        <w:tc>
          <w:tcPr>
            <w:tcW w:type="dxa" w:w="2200"/>
            <w:vAlign w:val="center"/>
          </w:tcPr>
          <w:p>
            <w:r>
              <w:t>Overclaim archetypes allowed unchanged</w:t>
            </w:r>
          </w:p>
        </w:tc>
        <w:tc>
          <w:tcPr>
            <w:tcW w:type="dxa" w:w="1700"/>
            <w:vAlign w:val="center"/>
          </w:tcPr>
          <w:p>
            <w:r>
              <w:t>0/23</w:t>
            </w:r>
          </w:p>
        </w:tc>
        <w:tc>
          <w:tcPr>
            <w:tcW w:type="dxa" w:w="5460"/>
            <w:vAlign w:val="center"/>
          </w:tcPr>
          <w:p>
            <w:r>
              <w:t>Derived from overclaim cases that reached allow unchanged.</w:t>
            </w:r>
          </w:p>
        </w:tc>
      </w:tr>
      <w:tr>
        <w:tc>
          <w:tcPr>
            <w:tcW w:type="dxa" w:w="2200"/>
            <w:vAlign w:val="center"/>
          </w:tcPr>
          <w:p>
            <w:r>
              <w:t>Action / primary-gate conformance</w:t>
            </w:r>
          </w:p>
        </w:tc>
        <w:tc>
          <w:tcPr>
            <w:tcW w:type="dxa" w:w="1700"/>
            <w:vAlign w:val="center"/>
          </w:tcPr>
          <w:p>
            <w:r>
              <w:t>33/33; 31/33</w:t>
            </w:r>
          </w:p>
        </w:tc>
        <w:tc>
          <w:tcPr>
            <w:tcW w:type="dxa" w:w="5460"/>
            <w:vAlign w:val="center"/>
          </w:tcPr>
          <w:p>
            <w:r>
              <w:t>PGX19 and PGX24 are gate-precedence mismatches.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Inappropriate denial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0</w:t>
            </w:r>
          </w:p>
        </w:tc>
        <w:tc>
          <w:tcPr>
            <w:tcW w:type="dxa" w:w="5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Count of bounded aligned alerts blocked too strongly.</w:t>
            </w:r>
          </w:p>
        </w:tc>
      </w:tr>
      <w:tr>
        <w:tc>
          <w:tcPr>
            <w:tcW w:type="dxa" w:w="2200"/>
          </w:tcPr>
          <w:p>
            <w:r>
              <w:t>One-gate ablation</w:t>
            </w:r>
          </w:p>
        </w:tc>
        <w:tc>
          <w:tcPr>
            <w:tcW w:type="dxa" w:w="1700"/>
          </w:tcPr>
          <w:p>
            <w:r>
              <w:t>2, 1, 6</w:t>
            </w:r>
          </w:p>
        </w:tc>
        <w:tc>
          <w:tcPr>
            <w:tcW w:type="dxa" w:w="5460"/>
          </w:tcPr>
          <w:p>
            <w:r>
              <w:t>Overclaims allowed when disabling citation, population, or endpoint/actionability gates.</w:t>
            </w:r>
          </w:p>
        </w:tc>
      </w:tr>
    </w:tbl>
    <w:p>
      <w:pPr>
        <w:spacing w:after="40"/>
      </w:pPr>
    </w:p>
    <w:p>
      <w:pPr>
        <w:pStyle w:val="Heading1"/>
      </w:pPr>
      <w:r>
        <w:t>Value</w:t>
      </w:r>
    </w:p>
    <w:p>
      <w:r>
        <w:rPr>
          <w:rFonts w:ascii="Calibri" w:hAnsi="Calibri"/>
        </w:rPr>
        <w:t>The contribution is valuable because pharmacogenomic alerts sit at the intersection of real guideline support, population transport, citation validity, and high-stakes medication decisions. A small auditable gate can turn an abstract concern about LLM overclaiming into a concrete evaluation plan for one recurrent clinical workflow.</w:t>
      </w:r>
    </w:p>
    <w:p>
      <w:pPr>
        <w:pStyle w:val="Heading1"/>
      </w:pPr>
      <w:r/>
      <w:r>
        <w:t>Background Papers and Standards</w:t>
      </w:r>
    </w:p>
    <w:p>
      <w:pPr>
        <w:pStyle w:val="ListBullet"/>
      </w:pPr>
      <w:r>
        <w:t>Byrne, Domenico, and Moore (2024), Artificial intelligence for improved patient outcomes.</w:t>
      </w:r>
    </w:p>
    <w:p>
      <w:pPr>
        <w:pStyle w:val="ListBullet"/>
      </w:pPr>
      <w:r>
        <w:t>Stegenga (2018), Medical Nihilism.</w:t>
      </w:r>
    </w:p>
    <w:p>
      <w:pPr>
        <w:pStyle w:val="ListBullet"/>
      </w:pPr>
      <w:r>
        <w:t>FDA-NIH BEST Resource, endpoint and surrogate endpoint definitions.</w:t>
      </w:r>
    </w:p>
    <w:p>
      <w:pPr>
        <w:pStyle w:val="ListBullet"/>
      </w:pPr>
      <w:r>
        <w:t>CPIC CYP2C19-clopidogrel 2022 update.</w:t>
      </w:r>
    </w:p>
    <w:p>
      <w:pPr>
        <w:pStyle w:val="ListBullet"/>
      </w:pPr>
      <w:r>
        <w:t>CPIC DPYD-fluoropyrimidines guideline update.</w:t>
      </w:r>
    </w:p>
    <w:p>
      <w:pPr>
        <w:pStyle w:val="Heading1"/>
      </w:pPr>
      <w:r>
        <w:t>Guideline and Data Resources</w:t>
      </w:r>
    </w:p>
    <w:p>
      <w:pPr>
        <w:pStyle w:val="ListBullet"/>
      </w:pPr>
      <w:r>
        <w:t>ML4H 2026 Call for Participation and Writing Guidelines.</w:t>
      </w:r>
    </w:p>
    <w:p>
      <w:pPr>
        <w:pStyle w:val="ListBullet"/>
      </w:pPr>
      <w:r>
        <w:t>CPIC/ClinPGx pharmacogenomic guideline pages.</w:t>
      </w:r>
    </w:p>
    <w:p>
      <w:pPr>
        <w:pStyle w:val="ListBullet"/>
      </w:pPr>
      <w:r>
        <w:t>ClinVar and gnomAD for variant/resource context.</w:t>
      </w:r>
    </w:p>
    <w:p>
      <w:pPr>
        <w:pStyle w:val="ListBullet"/>
      </w:pPr>
      <w:r>
        <w:t>All of Us, Genome India, and Psifas/Mosaic as population-fit examples.</w:t>
      </w:r>
    </w:p>
    <w:sectPr w:rsidR="00FC693F" w:rsidRPr="0006063C" w:rsidSect="00034616">
      <w:footerReference w:type="default" r:id="rId9"/>
      <w:pgSz w:w="12240" w:h="15840"/>
      <w:pgMar w:top="1152" w:right="1224" w:bottom="1080" w:left="1224" w:header="648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7"/>
      </w:rPr>
      <w:t>Ravi Bajaj - Pruned Evidence Gate Proposal - August 8,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