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
              <w:rPr>
                <w:rFonts w:ascii="Calibri" w:hAnsi="Calibri"/>
                <w:b/>
                <w:color w:val="000000"/>
                <w:sz w:val="19"/>
              </w:rPr>
              <w:t>Field</w:t>
            </w:r>
          </w:p>
        </w:tc>
        <w:tc>
          <w:tcPr>
            <w:tcW w:type="dxa" w:w="6760"/>
            <w:vAlign w:val="center"/>
            <w:shd w:fill="F4F6F9"/>
          </w:tcPr>
          <w:p>
            <w:pPr>
              <w:spacing w:after="0"/>
            </w:pPr>
            <w:r/>
            <w:r>
              <w:rPr>
                <w:rFonts w:ascii="Calibri" w:hAnsi="Calibri"/>
                <w:b/>
                <w:color w:val="000000"/>
                <w:sz w:val="19"/>
              </w:rPr>
              <w:t>Value</w:t>
            </w:r>
          </w:p>
        </w:tc>
      </w:tr>
      <w:tr>
        <w:tc>
          <w:tcPr>
            <w:tcW w:type="dxa" w:w="2600"/>
            <w:vAlign w:val="center"/>
          </w:tcPr>
          <w:p>
            <w:pPr>
              <w:spacing w:after="0"/>
            </w:pPr>
            <w:r/>
            <w:r>
              <w:rPr>
                <w:rFonts w:ascii="Calibri" w:hAnsi="Calibri"/>
                <w:b w:val="0"/>
                <w:color w:val="000000"/>
                <w:sz w:val="19"/>
              </w:rPr>
              <w:t>Name</w:t>
            </w:r>
          </w:p>
        </w:tc>
        <w:tc>
          <w:tcPr>
            <w:tcW w:type="dxa" w:w="6760"/>
            <w:vAlign w:val="center"/>
          </w:tcPr>
          <w:p>
            <w:pPr>
              <w:spacing w:after="0"/>
            </w:pPr>
            <w:r/>
            <w:r>
              <w:rPr>
                <w:rFonts w:ascii="Calibri" w:hAnsi="Calibri"/>
                <w:b w:val="0"/>
                <w:color w:val="000000"/>
                <w:sz w:val="19"/>
              </w:rPr>
              <w:t>Machine Learning for Health Symposium (ML4H 2026)</w:t>
            </w:r>
          </w:p>
        </w:tc>
      </w:tr>
      <w:tr>
        <w:tc>
          <w:tcPr>
            <w:tcW w:type="dxa" w:w="2600"/>
            <w:vAlign w:val="center"/>
          </w:tcPr>
          <w:p>
            <w:pPr>
              <w:spacing w:after="0"/>
            </w:pPr>
            <w:r/>
            <w:r>
              <w:rPr>
                <w:rFonts w:ascii="Calibri" w:hAnsi="Calibri"/>
                <w:b w:val="0"/>
                <w:color w:val="000000"/>
                <w:sz w:val="19"/>
              </w:rPr>
              <w:t>URL</w:t>
            </w:r>
          </w:p>
        </w:tc>
        <w:tc>
          <w:tcPr>
            <w:tcW w:type="dxa" w:w="6760"/>
            <w:vAlign w:val="center"/>
          </w:tcPr>
          <w:p>
            <w:pPr>
              <w:spacing w:after="0"/>
            </w:pPr>
            <w:r/>
            <w:r>
              <w:rPr>
                <w:rFonts w:ascii="Calibri" w:hAnsi="Calibri"/>
                <w:b w:val="0"/>
                <w:color w:val="000000"/>
                <w:sz w:val="19"/>
              </w:rPr>
              <w:t>https://ml4h.ahli.cc/</w:t>
            </w:r>
          </w:p>
        </w:tc>
      </w:tr>
      <w:tr>
        <w:tc>
          <w:tcPr>
            <w:tcW w:type="dxa" w:w="2600"/>
            <w:vAlign w:val="center"/>
          </w:tcPr>
          <w:p>
            <w:pPr>
              <w:spacing w:after="0"/>
            </w:pPr>
            <w:r/>
            <w:r>
              <w:rPr>
                <w:rFonts w:ascii="Calibri" w:hAnsi="Calibri"/>
                <w:b w:val="0"/>
                <w:color w:val="000000"/>
                <w:sz w:val="19"/>
              </w:rPr>
              <w:t>Author instructions / CFP</w:t>
            </w:r>
          </w:p>
        </w:tc>
        <w:tc>
          <w:tcPr>
            <w:tcW w:type="dxa" w:w="6760"/>
            <w:vAlign w:val="center"/>
          </w:tcPr>
          <w:p>
            <w:pPr>
              <w:spacing w:after="0"/>
            </w:pPr>
            <w:r/>
            <w:r>
              <w:rPr>
                <w:rFonts w:ascii="Calibri" w:hAnsi="Calibri"/>
                <w:b w:val="0"/>
                <w:color w:val="000000"/>
                <w:sz w:val="19"/>
              </w:rPr>
              <w:t>https://ml4h.ahli.cc/submit/call-for-papers/</w:t>
            </w:r>
          </w:p>
        </w:tc>
      </w:tr>
      <w:tr>
        <w:tc>
          <w:tcPr>
            <w:tcW w:type="dxa" w:w="2600"/>
            <w:vAlign w:val="center"/>
          </w:tcPr>
          <w:p>
            <w:pPr>
              <w:spacing w:after="0"/>
            </w:pPr>
            <w:r/>
            <w:r>
              <w:rPr>
                <w:rFonts w:ascii="Calibri" w:hAnsi="Calibri"/>
                <w:b w:val="0"/>
                <w:color w:val="000000"/>
                <w:sz w:val="19"/>
              </w:rPr>
              <w:t>Submission deadline</w:t>
            </w:r>
          </w:p>
        </w:tc>
        <w:tc>
          <w:tcPr>
            <w:tcW w:type="dxa" w:w="6760"/>
            <w:vAlign w:val="center"/>
          </w:tcPr>
          <w:p>
            <w:pPr>
              <w:spacing w:after="0"/>
            </w:pPr>
            <w:r/>
            <w:r>
              <w:rPr>
                <w:rFonts w:ascii="Calibri" w:hAnsi="Calibri"/>
                <w:b w:val="0"/>
                <w:color w:val="000000"/>
                <w:sz w:val="19"/>
              </w:rPr>
              <w:t>September 10, 2026, 11:59 PM AoE</w:t>
            </w:r>
          </w:p>
        </w:tc>
      </w:tr>
      <w:tr>
        <w:tc>
          <w:tcPr>
            <w:tcW w:type="dxa" w:w="2600"/>
            <w:vAlign w:val="center"/>
          </w:tcPr>
          <w:p>
            <w:pPr>
              <w:spacing w:after="0"/>
            </w:pPr>
            <w:r/>
            <w:r>
              <w:rPr>
                <w:rFonts w:ascii="Calibri" w:hAnsi="Calibri"/>
                <w:b w:val="0"/>
                <w:color w:val="000000"/>
                <w:sz w:val="19"/>
              </w:rPr>
              <w:t>Author notification</w:t>
            </w:r>
          </w:p>
        </w:tc>
        <w:tc>
          <w:tcPr>
            <w:tcW w:type="dxa" w:w="6760"/>
            <w:vAlign w:val="center"/>
          </w:tcPr>
          <w:p>
            <w:pPr>
              <w:spacing w:after="0"/>
            </w:pPr>
            <w:r/>
            <w:r>
              <w:rPr>
                <w:rFonts w:ascii="Calibri" w:hAnsi="Calibri"/>
                <w:b w:val="0"/>
                <w:color w:val="000000"/>
                <w:sz w:val="19"/>
              </w:rPr>
              <w:t>October 22, 2026</w:t>
            </w:r>
          </w:p>
        </w:tc>
      </w:tr>
      <w:tr>
        <w:tc>
          <w:tcPr>
            <w:tcW w:type="dxa" w:w="2600"/>
            <w:vAlign w:val="center"/>
          </w:tcPr>
          <w:p>
            <w:pPr>
              <w:spacing w:after="0"/>
            </w:pPr>
            <w:r/>
            <w:r>
              <w:rPr>
                <w:rFonts w:ascii="Calibri" w:hAnsi="Calibri"/>
                <w:b w:val="0"/>
                <w:color w:val="000000"/>
                <w:sz w:val="19"/>
              </w:rPr>
              <w:t>Camera-ready deadline</w:t>
            </w:r>
          </w:p>
        </w:tc>
        <w:tc>
          <w:tcPr>
            <w:tcW w:type="dxa" w:w="6760"/>
            <w:vAlign w:val="center"/>
          </w:tcPr>
          <w:p>
            <w:pPr>
              <w:spacing w:after="0"/>
            </w:pPr>
            <w:r/>
            <w:r>
              <w:rPr>
                <w:rFonts w:ascii="Calibri" w:hAnsi="Calibri"/>
                <w:b w:val="0"/>
                <w:color w:val="000000"/>
                <w:sz w:val="19"/>
              </w:rPr>
              <w:t>November 7, 2026 (tentative)</w:t>
            </w:r>
          </w:p>
        </w:tc>
      </w:tr>
      <w:tr>
        <w:tc>
          <w:tcPr>
            <w:tcW w:type="dxa" w:w="2600"/>
            <w:vAlign w:val="center"/>
          </w:tcPr>
          <w:p>
            <w:pPr>
              <w:spacing w:after="0"/>
            </w:pPr>
            <w:r/>
            <w:r>
              <w:rPr>
                <w:rFonts w:ascii="Calibri" w:hAnsi="Calibri"/>
                <w:b w:val="0"/>
                <w:color w:val="000000"/>
                <w:sz w:val="19"/>
              </w:rPr>
              <w:t>Event dates</w:t>
            </w:r>
          </w:p>
        </w:tc>
        <w:tc>
          <w:tcPr>
            <w:tcW w:type="dxa" w:w="6760"/>
            <w:vAlign w:val="center"/>
          </w:tcPr>
          <w:p>
            <w:pPr>
              <w:spacing w:after="0"/>
            </w:pPr>
            <w:r/>
            <w:r>
              <w:rPr>
                <w:rFonts w:ascii="Calibri" w:hAnsi="Calibri"/>
                <w:b w:val="0"/>
                <w:color w:val="000000"/>
                <w:sz w:val="19"/>
              </w:rPr>
              <w:t>December 6-7, 2026</w:t>
            </w:r>
          </w:p>
        </w:tc>
      </w:tr>
      <w:tr>
        <w:tc>
          <w:tcPr>
            <w:tcW w:type="dxa" w:w="2600"/>
            <w:vAlign w:val="center"/>
          </w:tcPr>
          <w:p>
            <w:pPr>
              <w:spacing w:after="0"/>
            </w:pPr>
            <w:r/>
            <w:r>
              <w:rPr>
                <w:rFonts w:ascii="Calibri" w:hAnsi="Calibri"/>
                <w:b w:val="0"/>
                <w:color w:val="000000"/>
                <w:sz w:val="19"/>
              </w:rPr>
              <w:t>Location</w:t>
            </w:r>
          </w:p>
        </w:tc>
        <w:tc>
          <w:tcPr>
            <w:tcW w:type="dxa" w:w="6760"/>
            <w:vAlign w:val="center"/>
          </w:tcPr>
          <w:p>
            <w:pPr>
              <w:spacing w:after="0"/>
            </w:pPr>
            <w:r/>
            <w:r>
              <w:rPr>
                <w:rFonts w:ascii="Calibri" w:hAnsi="Calibri"/>
                <w:b w:val="0"/>
                <w:color w:val="000000"/>
                <w:sz w:val="19"/>
              </w:rPr>
              <w:t>Sydney, Australia</w:t>
            </w:r>
          </w:p>
        </w:tc>
      </w:tr>
      <w:tr>
        <w:tc>
          <w:tcPr>
            <w:tcW w:type="dxa" w:w="2600"/>
            <w:vAlign w:val="center"/>
          </w:tcPr>
          <w:p>
            <w:pPr>
              <w:spacing w:after="0"/>
            </w:pPr>
            <w:r/>
            <w:r>
              <w:rPr>
                <w:rFonts w:ascii="Calibri" w:hAnsi="Calibri"/>
                <w:b w:val="0"/>
                <w:color w:val="000000"/>
                <w:sz w:val="19"/>
              </w:rPr>
              <w:t>Suggested track</w:t>
            </w:r>
          </w:p>
        </w:tc>
        <w:tc>
          <w:tcPr>
            <w:tcW w:type="dxa" w:w="6760"/>
            <w:vAlign w:val="center"/>
          </w:tcPr>
          <w:p>
            <w:r>
              <w:t>Findings Track for preliminary specification-conformance work; Proceedings Track only after independent review.</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t>Abstract: This capstone studies a narrowed clinical AI safety problem: LLM-drafted pharmacogenomic and genomic medication alerts can overstate what guideline-supported evidence actually permits. I implement a synthetic pre-display evidence gate with three checks: citation/guideline support, population fit, and endpoint/actionability. Stage 1 does not call an LLM or extract evidence features from free text; it tests a deterministic controller over structured evidence annotations. In 33 author-designed synthetic cases, the controller blocked or narrowed all 23 designed overclaim archetypes, allowed all 10 bounded alerts, and produced no inappropriate denials. Action conformance was 33/33 and primary-gate conformance was 31/33, with PGX19 and PGX24 revealing citation-first precedence effects. One-gate ablations show that each gate uniquely catches at least one failure archetype. These counts show specification conformance, not clinical utility, independent safety, or generalization.</w:t>
      </w:r>
    </w:p>
    <w:p>
      <w:pPr>
        <w:pStyle w:val="Heading1"/>
      </w:pPr>
      <w:r>
        <w:t>Generative AI Use</w:t>
      </w:r>
    </w:p>
    <w:p>
      <w:r>
        <w:rPr>
          <w:rFonts w:ascii="Calibri" w:hAnsi="Calibri"/>
        </w:rPr>
        <w:t>Generative AI tools were used for brainstorming, critique, code scaffolding, drafting, packaging, and formatting.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spacing w:after="60"/>
      </w:pPr>
      <w:r>
        <w:t>Synthetic 33-case pharmacogenomic/genomic medication-alert case bank.</w:t>
      </w:r>
    </w:p>
    <w:p>
      <w:pPr>
        <w:pStyle w:val="ListBullet"/>
        <w:spacing w:after="60"/>
      </w:pPr>
      <w:r>
        <w:rPr>
          <w:rFonts w:ascii="Calibri" w:hAnsi="Calibri"/>
        </w:rPr>
        <w:t>Executable three-gate controller and tests.</w:t>
      </w:r>
    </w:p>
    <w:p>
      <w:pPr>
        <w:pStyle w:val="ListBullet"/>
      </w:pPr>
      <w:r>
        <w:t>One-gate ablation CSV showing isolated necessity of citation/guideline support, population fit, and endpoint/actionability gates.</w:t>
      </w:r>
    </w:p>
    <w:p>
      <w:pPr>
        <w:pStyle w:val="ListBullet"/>
        <w:spacing w:after="60"/>
      </w:pPr>
      <w:r>
        <w:rPr>
          <w:rFonts w:ascii="Calibri" w:hAnsi="Calibri"/>
        </w:rPr>
        <w:t>CSV/JSON results for overclaim detection, inappropriate denial, calibration, and gate/error categories.</w:t>
      </w:r>
    </w:p>
    <w:p>
      <w:pPr>
        <w:pStyle w:val="ListBullet"/>
        <w:spacing w:after="60"/>
      </w:pPr>
      <w:r>
        <w:rPr>
          <w:rFonts w:ascii="Calibri" w:hAnsi="Calibri"/>
        </w:rPr>
        <w:t>No real patient data, no protected health information, no diagnosis, and no treatment recommendation.</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