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ta-sources-integration-map"/>
      <w:r>
        <w:t xml:space="preserve">Data Sources &amp; Integration Map</w:t>
      </w:r>
      <w:bookmarkEnd w:id="20"/>
    </w:p>
    <w:p>
      <w:pPr>
        <w:pStyle w:val="Heading2"/>
      </w:pPr>
      <w:bookmarkStart w:id="21" w:name="crawl-immediately-available-phase-a"/>
      <w:r>
        <w:t xml:space="preserve">Crawl — Immediately Available (Phase A)</w:t>
      </w:r>
      <w:bookmarkEnd w:id="21"/>
    </w:p>
    <w:tbl>
      <w:tblPr>
        <w:tblStyle w:val="Table"/>
        <w:tblW w:type="pct" w:w="5000.0"/>
        <w:tblLook w:firstRow="1"/>
      </w:tblPr>
      <w:tblGrid>
        <w:gridCol w:w="1073"/>
        <w:gridCol w:w="2282"/>
        <w:gridCol w:w="2013"/>
        <w:gridCol w:w="25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Gives 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Integration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Public Internet</w:t>
            </w:r>
          </w:p>
        </w:tc>
        <w:tc>
          <w:p>
            <w:pPr>
              <w:pStyle w:val="Compact"/>
              <w:jc w:val="left"/>
            </w:pPr>
            <w:r>
              <w:t xml:space="preserve">Company profiles, financials, news, SEC filings, job postings</w:t>
            </w:r>
          </w:p>
        </w:tc>
        <w:tc>
          <w:p>
            <w:pPr>
              <w:pStyle w:val="Compact"/>
              <w:jc w:val="left"/>
            </w:pPr>
            <w:r>
              <w:t xml:space="preserve">Available now</w:t>
            </w:r>
          </w:p>
        </w:tc>
        <w:tc>
          <w:p>
            <w:pPr>
              <w:pStyle w:val="Compact"/>
              <w:jc w:val="left"/>
            </w:pPr>
            <w:r>
              <w:t xml:space="preserve">Automated research via approved AI APIs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Manual Uploads</w:t>
            </w:r>
          </w:p>
        </w:tc>
        <w:tc>
          <w:p>
            <w:pPr>
              <w:pStyle w:val="Compact"/>
              <w:jc w:val="left"/>
            </w:pPr>
            <w:r>
              <w:t xml:space="preserve">Meeting notes, transcripts, documents, diagrams</w:t>
            </w:r>
          </w:p>
        </w:tc>
        <w:tc>
          <w:p>
            <w:pPr>
              <w:pStyle w:val="Compact"/>
              <w:jc w:val="left"/>
            </w:pPr>
            <w:r>
              <w:t xml:space="preserve">Individual, unstructured</w:t>
            </w:r>
          </w:p>
        </w:tc>
        <w:tc>
          <w:p>
            <w:pPr>
              <w:pStyle w:val="Compact"/>
              <w:jc w:val="left"/>
            </w:pPr>
            <w:r>
              <w:t xml:space="preserve">Upload to KIRT; content extraction and embedding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Salesforce CSV</w:t>
            </w:r>
          </w:p>
        </w:tc>
        <w:tc>
          <w:p>
            <w:pPr>
              <w:pStyle w:val="Compact"/>
              <w:jc w:val="left"/>
            </w:pPr>
            <w:r>
              <w:t xml:space="preserve">Account data, pipeline, activity history, opportunity stages</w:t>
            </w:r>
          </w:p>
        </w:tc>
        <w:tc>
          <w:p>
            <w:pPr>
              <w:pStyle w:val="Compact"/>
              <w:jc w:val="left"/>
            </w:pPr>
            <w:r>
              <w:t xml:space="preserve">Two instances (Converge + Mainline). Duplicates.</w:t>
            </w:r>
          </w:p>
        </w:tc>
        <w:tc>
          <w:p>
            <w:pPr>
              <w:pStyle w:val="Compact"/>
              <w:jc w:val="left"/>
            </w:pPr>
            <w:r>
              <w:t xml:space="preserve">Report exports (CSV) to Foundation. Entity resolution applied.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Pre-built Prompts</w:t>
            </w:r>
          </w:p>
        </w:tc>
        <w:tc>
          <w:p>
            <w:pPr>
              <w:pStyle w:val="Compact"/>
              <w:jc w:val="left"/>
            </w:pPr>
            <w:r>
              <w:t xml:space="preserve">Automated pre-call research</w:t>
            </w:r>
          </w:p>
        </w:tc>
        <w:tc>
          <w:p>
            <w:pPr>
              <w:pStyle w:val="Compact"/>
              <w:jc w:val="left"/>
            </w:pPr>
            <w:r>
              <w:t xml:space="preserve">Carl Fetterman’s framework recognized as best-in-class</w:t>
            </w:r>
          </w:p>
        </w:tc>
        <w:tc>
          <w:p>
            <w:pPr>
              <w:pStyle w:val="Compact"/>
              <w:jc w:val="left"/>
            </w:pPr>
            <w:r>
              <w:t xml:space="preserve">Integrated into discovery workflow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Discovery Questionnaires</w:t>
            </w:r>
          </w:p>
        </w:tc>
        <w:tc>
          <w:p>
            <w:pPr>
              <w:pStyle w:val="Compact"/>
              <w:jc w:val="left"/>
            </w:pPr>
            <w:r>
              <w:t xml:space="preserve">Standardized discovery templates</w:t>
            </w:r>
          </w:p>
        </w:tc>
        <w:tc>
          <w:p>
            <w:pPr>
              <w:pStyle w:val="Compact"/>
              <w:jc w:val="left"/>
            </w:pPr>
            <w:r>
              <w:t xml:space="preserve">200+ questions across 20+ variants</w:t>
            </w:r>
          </w:p>
        </w:tc>
        <w:tc>
          <w:p>
            <w:pPr>
              <w:pStyle w:val="Compact"/>
              <w:jc w:val="left"/>
            </w:pPr>
            <w:r>
              <w:t xml:space="preserve">Consolidated into standard/industry/solution modules</w:t>
            </w:r>
          </w:p>
        </w:tc>
      </w:tr>
    </w:tbl>
    <w:p>
      <w:pPr>
        <w:pStyle w:val="Heading2"/>
      </w:pPr>
      <w:bookmarkStart w:id="22" w:name="walk-near-term-phase-b-q2-q3"/>
      <w:r>
        <w:t xml:space="preserve">Walk — Near-Term (Phase B, Q2-Q3)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2589"/>
        <w:gridCol w:w="1218"/>
        <w:gridCol w:w="289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Gives 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Integration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SharePoint / PMO</w:t>
            </w:r>
          </w:p>
        </w:tc>
        <w:tc>
          <w:p>
            <w:pPr>
              <w:pStyle w:val="Compact"/>
              <w:jc w:val="left"/>
            </w:pPr>
            <w:r>
              <w:t xml:space="preserve">SOWs, proposals, architecture docs, deliverables</w:t>
            </w:r>
          </w:p>
        </w:tc>
        <w:tc>
          <w:p>
            <w:pPr>
              <w:pStyle w:val="Compact"/>
              <w:jc w:val="left"/>
            </w:pPr>
            <w:r>
              <w:t xml:space="preserve">PMO site ~4 years old; inconsistently populated</w:t>
            </w:r>
          </w:p>
        </w:tc>
        <w:tc>
          <w:p>
            <w:pPr>
              <w:pStyle w:val="Compact"/>
              <w:jc w:val="left"/>
            </w:pPr>
            <w:r>
              <w:t xml:space="preserve">Scoped SP site, governance approval required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Salesforce API</w:t>
            </w:r>
          </w:p>
        </w:tc>
        <w:tc>
          <w:p>
            <w:pPr>
              <w:pStyle w:val="Compact"/>
              <w:jc w:val="left"/>
            </w:pPr>
            <w:r>
              <w:t xml:space="preserve">Real-time account data, quote-to-cash</w:t>
            </w:r>
          </w:p>
        </w:tc>
        <w:tc>
          <w:p>
            <w:pPr>
              <w:pStyle w:val="Compact"/>
              <w:jc w:val="left"/>
            </w:pPr>
            <w:r>
              <w:t xml:space="preserve">Deferred — depends on new SF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Direct API (replaces CSV exports)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Practice Collateral</w:t>
            </w:r>
          </w:p>
        </w:tc>
        <w:tc>
          <w:p>
            <w:pPr>
              <w:pStyle w:val="Compact"/>
              <w:jc w:val="left"/>
            </w:pPr>
            <w:r>
              <w:t xml:space="preserve">One-pagers, offerings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Scattered across practices</w:t>
            </w:r>
          </w:p>
        </w:tc>
        <w:tc>
          <w:p>
            <w:pPr>
              <w:pStyle w:val="Compact"/>
              <w:jc w:val="left"/>
            </w:pPr>
            <w:r>
              <w:t xml:space="preserve">Centralized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 Hat FlightPath</w:t>
            </w:r>
          </w:p>
        </w:tc>
        <w:tc>
          <w:p>
            <w:pPr>
              <w:pStyle w:val="Compact"/>
              <w:jc w:val="left"/>
            </w:pPr>
            <w:r>
              <w:t xml:space="preserve">Assessment frameworks, maturity models</w:t>
            </w:r>
          </w:p>
        </w:tc>
        <w:tc>
          <w:p>
            <w:pPr>
              <w:pStyle w:val="Compact"/>
              <w:jc w:val="left"/>
            </w:pPr>
            <w:r>
              <w:t xml:space="preserve">Materials requested (Mar 21 target)</w:t>
            </w:r>
          </w:p>
        </w:tc>
        <w:tc>
          <w:p>
            <w:pPr>
              <w:pStyle w:val="Compact"/>
              <w:jc w:val="left"/>
            </w:pPr>
            <w:r>
              <w:t xml:space="preserve">Reference framework for KIRT’s maturity 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Legacy Docs</w:t>
            </w:r>
          </w:p>
        </w:tc>
        <w:tc>
          <w:p>
            <w:pPr>
              <w:pStyle w:val="Compact"/>
              <w:jc w:val="left"/>
            </w:pPr>
            <w:r>
              <w:t xml:space="preserve">Assessment frameworks from acquisitions</w:t>
            </w:r>
          </w:p>
        </w:tc>
        <w:tc>
          <w:p>
            <w:pPr>
              <w:pStyle w:val="Compact"/>
              <w:jc w:val="left"/>
            </w:pPr>
            <w:r>
              <w:t xml:space="preserve">Scattered across 36 merged companies</w:t>
            </w:r>
          </w:p>
        </w:tc>
        <w:tc>
          <w:p>
            <w:pPr>
              <w:pStyle w:val="Compact"/>
              <w:jc w:val="left"/>
            </w:pPr>
            <w:r>
              <w:t xml:space="preserve">Collect and digitize</w:t>
            </w:r>
          </w:p>
        </w:tc>
      </w:tr>
    </w:tbl>
    <w:p>
      <w:pPr>
        <w:pStyle w:val="Heading2"/>
      </w:pPr>
      <w:bookmarkStart w:id="23" w:name="run-future-phase-c"/>
      <w:r>
        <w:t xml:space="preserve">Run — Future (Phase C+)</w:t>
      </w:r>
      <w:bookmarkEnd w:id="23"/>
    </w:p>
    <w:tbl>
      <w:tblPr>
        <w:tblStyle w:val="Table"/>
        <w:tblW w:type="pct" w:w="5000.0"/>
        <w:tblLook w:firstRow="1"/>
      </w:tblPr>
      <w:tblGrid>
        <w:gridCol w:w="1920"/>
        <w:gridCol w:w="4080"/>
        <w:gridCol w:w="19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Gives 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OpenAir / Time Entry</w:t>
            </w:r>
          </w:p>
        </w:tc>
        <w:tc>
          <w:p>
            <w:pPr>
              <w:pStyle w:val="Compact"/>
              <w:jc w:val="left"/>
            </w:pPr>
            <w:r>
              <w:t xml:space="preserve">Project hours, allocation, timelines</w:t>
            </w:r>
          </w:p>
        </w:tc>
        <w:tc>
          <w:p>
            <w:pPr>
              <w:pStyle w:val="Compact"/>
              <w:jc w:val="left"/>
            </w:pPr>
            <w:r>
              <w:t xml:space="preserve">Misaligned with other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MSA Repository</w:t>
            </w:r>
          </w:p>
        </w:tc>
        <w:tc>
          <w:p>
            <w:pPr>
              <w:pStyle w:val="Compact"/>
              <w:jc w:val="left"/>
            </w:pPr>
            <w:r>
              <w:t xml:space="preserve">Contract terms, AI restrictions per customer</w:t>
            </w:r>
          </w:p>
        </w:tc>
        <w:tc>
          <w:p>
            <w:pPr>
              <w:pStyle w:val="Compact"/>
              <w:jc w:val="left"/>
            </w:pPr>
            <w:r>
              <w:t xml:space="preserve">Needs legal coordination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/ Calendar</w:t>
            </w:r>
          </w:p>
        </w:tc>
        <w:tc>
          <w:p>
            <w:pPr>
              <w:pStyle w:val="Compact"/>
              <w:jc w:val="left"/>
            </w:pPr>
            <w:r>
              <w:t xml:space="preserve">Meeting scheduling, correspondence signals</w:t>
            </w:r>
          </w:p>
        </w:tc>
        <w:tc>
          <w:p>
            <w:pPr>
              <w:pStyle w:val="Compact"/>
              <w:jc w:val="left"/>
            </w:pPr>
            <w:r>
              <w:t xml:space="preserve">Needs privacy/policy scoping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Industry / News Feeds</w:t>
            </w:r>
          </w:p>
        </w:tc>
        <w:tc>
          <w:p>
            <w:pPr>
              <w:pStyle w:val="Compact"/>
              <w:jc w:val="left"/>
            </w:pPr>
            <w:r>
              <w:t xml:space="preserve">Regulatory changes, M&amp;A, earnings, hiring signals</w:t>
            </w:r>
          </w:p>
        </w:tc>
        <w:tc>
          <w:p>
            <w:pPr>
              <w:pStyle w:val="Compact"/>
              <w:jc w:val="left"/>
            </w:pPr>
            <w:r>
              <w:t xml:space="preserve">Needs scoping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NPS / Survey Data</w:t>
            </w:r>
          </w:p>
        </w:tc>
        <w:tc>
          <w:p>
            <w:pPr>
              <w:pStyle w:val="Compact"/>
              <w:jc w:val="left"/>
            </w:pPr>
            <w:r>
              <w:t xml:space="preserve">Customer satisfaction, feedback</w:t>
            </w:r>
          </w:p>
        </w:tc>
        <w:tc>
          <w:p>
            <w:pPr>
              <w:pStyle w:val="Compact"/>
              <w:jc w:val="left"/>
            </w:pPr>
            <w:r>
              <w:t xml:space="preserve">Needs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 Artifacts</w:t>
            </w:r>
          </w:p>
        </w:tc>
        <w:tc>
          <w:p>
            <w:pPr>
              <w:pStyle w:val="Compact"/>
              <w:jc w:val="left"/>
            </w:pPr>
            <w:r>
              <w:t xml:space="preserve">Outcomes, lessons learned, actual hours</w:t>
            </w:r>
          </w:p>
        </w:tc>
        <w:tc>
          <w:p>
            <w:pPr>
              <w:pStyle w:val="Compact"/>
              <w:jc w:val="left"/>
            </w:pPr>
            <w:r>
              <w:t xml:space="preserve">Needs process 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Competitor Intel</w:t>
            </w:r>
          </w:p>
        </w:tc>
        <w:tc>
          <w:p>
            <w:pPr>
              <w:pStyle w:val="Compact"/>
              <w:jc w:val="left"/>
            </w:pPr>
            <w:r>
              <w:t xml:space="preserve">Offerings, positioning, install base aging</w:t>
            </w:r>
          </w:p>
        </w:tc>
        <w:tc>
          <w:p>
            <w:pPr>
              <w:pStyle w:val="Compact"/>
              <w:jc w:val="left"/>
            </w:pPr>
            <w:r>
              <w:t xml:space="preserve">Needs scoping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Hardware BOMs</w:t>
            </w:r>
          </w:p>
        </w:tc>
        <w:tc>
          <w:p>
            <w:pPr>
              <w:pStyle w:val="Compact"/>
              <w:jc w:val="left"/>
            </w:pPr>
            <w:r>
              <w:t xml:space="preserve">Bills of material, SKU history</w:t>
            </w:r>
          </w:p>
        </w:tc>
        <w:tc>
          <w:p>
            <w:pPr>
              <w:pStyle w:val="Compact"/>
              <w:jc w:val="left"/>
            </w:pPr>
            <w:r>
              <w:t xml:space="preserve">Needs SF team</w:t>
            </w:r>
          </w:p>
        </w:tc>
      </w:tr>
    </w:tbl>
    <w:p>
      <w:pPr>
        <w:pStyle w:val="Heading2"/>
      </w:pPr>
      <w:bookmarkStart w:id="24" w:name="known-integration-gaps"/>
      <w:r>
        <w:t xml:space="preserve">Known Integration Gaps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 normalization</w:t>
      </w:r>
      <w:r>
        <w:t xml:space="preserve"> </w:t>
      </w:r>
      <w:r>
        <w:t xml:space="preserve">— No dedup logic. Customer names in 3+ variants across 50+ systems (36 merged companies, two SF instances). Critical blocker for cross-account intelligence. Prototype in progress.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Practice review data</w:t>
      </w:r>
      <w:r>
        <w:t xml:space="preserve"> </w:t>
      </w:r>
      <w:r>
        <w:t xml:space="preserve">— Screenshots from 50+ different systems. No automated scraping. Currently collected manually.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Hardware-BSE correlation</w:t>
      </w:r>
      <w:r>
        <w:t xml:space="preserve"> </w:t>
      </w:r>
      <w:r>
        <w:t xml:space="preserve">— Hardware often sold with vendor implementation, not tracked as our project. Needs new Salesforce implementation team involvement.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New Salesforce implementation</w:t>
      </w:r>
      <w:r>
        <w:t xml:space="preserve"> </w:t>
      </w:r>
      <w:r>
        <w:t xml:space="preserve">— Timeline unknown. Under Adam Weiner’s team. May solve some normalization issues.</w:t>
      </w:r>
    </w:p>
    <w:p>
      <w:pPr>
        <w:pStyle w:val="Heading2"/>
      </w:pPr>
      <w:bookmarkStart w:id="25" w:name="salesforce-relationship"/>
      <w:r>
        <w:t xml:space="preserve">Salesforce Relationship</w:t>
      </w:r>
      <w:bookmarkEnd w:id="25"/>
    </w:p>
    <w:p>
      <w:pPr>
        <w:pStyle w:val="FirstParagraph"/>
      </w:pPr>
      <w:r>
        <w:t xml:space="preserve">See</w:t>
      </w:r>
      <w:r>
        <w:t xml:space="preserve"> </w:t>
      </w:r>
      <w:hyperlink r:id="rId26">
        <w:r>
          <w:rPr>
            <w:rStyle w:val="Hyperlink"/>
          </w:rPr>
          <w:t xml:space="preserve">salesforce-positioning.md</w:t>
        </w:r>
      </w:hyperlink>
      <w:r>
        <w:t xml:space="preserve"> </w:t>
      </w:r>
      <w:r>
        <w:t xml:space="preserve">for the full</w:t>
      </w:r>
      <w:r>
        <w:t xml:space="preserve"> </w:t>
      </w:r>
      <w:r>
        <w:t xml:space="preserve">“</w:t>
      </w:r>
      <w:r>
        <w:t xml:space="preserve">Why not just Salesforce?</w:t>
      </w:r>
      <w:r>
        <w:t xml:space="preserve">”</w:t>
      </w:r>
      <w:r>
        <w:t xml:space="preserve"> </w:t>
      </w:r>
      <w:r>
        <w:t xml:space="preserve">analysis.</w:t>
      </w:r>
    </w:p>
    <w:p>
      <w:pPr>
        <w:pStyle w:val="BodyText"/>
      </w:pPr>
      <w:r>
        <w:rPr>
          <w:b/>
        </w:rPr>
        <w:t xml:space="preserve">Summary:</w:t>
      </w:r>
      <w:r>
        <w:t xml:space="preserve"> </w:t>
      </w:r>
      <w:r>
        <w:t xml:space="preserve">KIRT complements Salesforce. SF is the system of record for structured data (accounts, pipeline, activities). KIRT handles what SF can’t: unstructured data analysis, semantic search, AI-generated deliverables, pattern-based recommendations, and tribal knowledge capture. If we get a single normalized SF tenant, KIRT’s value increases — clean data means better intelligence.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1"/>
        <w:szCs w:val="21"/>
        <w:color w:val="0C0F35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60" w:after="12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0" w:after="200"/>
      <w:pBdr>
        <w:bottom w:val="single" w:sz="8" w:space="6" w:color="7B17FF"/>
      </w:pBdr>
    </w:pPr>
    <w:rPr>
      <w:rFonts w:ascii="Arial" w:hAnsi="Arial"/>
      <w:b/>
      <w:bCs/>
      <w:color w:val="0C0F35"/>
      <w:sz w:val="40"/>
      <w:szCs w:val="40"/>
    </w:rPr>
  </w:style>
  <w:style w:type="paragraph" w:styleId="Subtitle">
    <w:name w:val="Subtitle"/>
    <w:basedOn w:val="Title"/>
    <w:next w:val="BodyText"/>
    <w:qFormat/>
    <w:pPr>
      <w:spacing w:before="0" w:after="240"/>
      <w:pBdr>
        <w:bottom w:val="none" w:sz="0" w:space="0" w:color="auto"/>
      </w:pBdr>
    </w:pPr>
    <w:rPr>
      <w:b w:val="0"/>
      <w:color w:val="767676"/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</w:pPr>
    <w:rPr>
      <w:color w:val="767676"/>
    </w:rPr>
  </w:style>
  <w:style w:type="paragraph" w:styleId="Date">
    <w:name w:val="Date"/>
    <w:next w:val="BodyText"/>
    <w:qFormat/>
    <w:pPr>
      <w:keepNext/>
      <w:keepLines/>
    </w:pPr>
    <w:rPr>
      <w:color w:val="767676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200" w:after="200"/>
      <w:ind w:left="480" w:right="480"/>
    </w:pPr>
    <w:rPr>
      <w:i/>
      <w:color w:val="767676"/>
    </w:rPr>
  </w:style>
  <w:style w:type="paragraph" w:styleId="Bibliography">
    <w:name w:val="Bibliography"/>
    <w:basedOn w:val="Normal"/>
    <w:next w:val="Bibliography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</w:pPr>
    <w:rPr>
      <w:rFonts w:ascii="Arial" w:hAnsi="Arial"/>
      <w:b/>
      <w:bCs/>
      <w:color w:val="0C0F3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rial" w:hAnsi="Arial"/>
      <w:b/>
      <w:bCs/>
      <w:color w:val="0C0F35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60"/>
      <w:outlineLvl w:val="2"/>
    </w:pPr>
    <w:rPr>
      <w:rFonts w:ascii="Arial" w:hAnsi="Arial"/>
      <w:b/>
      <w:bCs/>
      <w:color w:val="7B17FF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60"/>
      <w:outlineLvl w:val="3"/>
    </w:pPr>
    <w:rPr>
      <w:rFonts w:ascii="Arial" w:hAnsi="Arial"/>
      <w:b/>
      <w:color w:val="0C0F35"/>
      <w:sz w:val="21"/>
      <w:szCs w:val="2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40"/>
      <w:outlineLvl w:val="4"/>
    </w:pPr>
    <w:rPr>
      <w:i/>
      <w:color w:val="0C0F35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40"/>
      <w:outlineLvl w:val="5"/>
    </w:pPr>
    <w:rPr>
      <w:color w:val="767676"/>
    </w:rPr>
  </w:style>
  <w:style w:type="paragraph" w:styleId="Heading7">
    <w:name w:val="Heading 7"/>
    <w:basedOn w:val="Heading6"/>
    <w:next w:val="BodyText"/>
    <w:uiPriority w:val="9"/>
    <w:unhideWhenUsed/>
    <w:qFormat/>
    <w:pPr>
      <w:outlineLvl w:val="6"/>
    </w:pPr>
  </w:style>
  <w:style w:type="paragraph" w:styleId="Heading8">
    <w:name w:val="Heading 8"/>
    <w:basedOn w:val="Heading6"/>
    <w:next w:val="BodyText"/>
    <w:uiPriority w:val="9"/>
    <w:unhideWhenUsed/>
    <w:qFormat/>
    <w:pPr>
      <w:outlineLvl w:val="7"/>
    </w:pPr>
  </w:style>
  <w:style w:type="paragraph" w:styleId="Heading9">
    <w:name w:val="Heading 9"/>
    <w:basedOn w:val="Heading6"/>
    <w:next w:val="BodyText"/>
    <w:uiPriority w:val="9"/>
    <w:unhideWhenUsed/>
    <w:qFormat/>
    <w:pPr>
      <w:outlineLvl w:val="8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60" w:after="60"/>
      <w:ind w:left="480" w:right="480"/>
      <w:pBdr>
        <w:left w:val="single" w:sz="12" w:space="8" w:color="7B17FF"/>
      </w:pBdr>
      <w:shd w:val="clear" w:color="auto" w:fill="F1F1F1"/>
    </w:pPr>
    <w:rPr>
      <w:color w:val="0C0F35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  <w:color w:val="767676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E0E0E0"/>
        <w:left w:val="single" w:sz="4" w:space="0" w:color="E0E0E0"/>
        <w:bottom w:val="single" w:sz="4" w:space="0" w:color="E0E0E0"/>
        <w:right w:val="single" w:sz="4" w:space="0" w:color="E0E0E0"/>
        <w:insideH w:val="single" w:sz="4" w:space="0" w:color="E0E0E0"/>
        <w:insideV w:val="single" w:sz="4" w:space="0" w:color="E0E0E0"/>
      </w:tblBorders>
      <w:tblCellMar>
        <w:top w:w="60" w:type="dxa"/>
        <w:left w:w="120" w:type="dxa"/>
        <w:bottom w:w="60" w:type="dxa"/>
        <w:right w:w="12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  <w:color w:val="0C0F35"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color w:val="767676"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9"/>
      <w:color w:val="0C0F35"/>
      <w:shd w:val="clear" w:color="auto" w:fill="F1F1F1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69FF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hyperlink" Target="salesforce-positioning.md" TargetMode="Externa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29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8" Type="http://schemas.openxmlformats.org/officeDocument/2006/relationships/customXml" Target="../customXml/item2.xml"/><Relationship Id="rId4" Type="http://schemas.openxmlformats.org/officeDocument/2006/relationships/webSettings" Target="webSettings.xml"/><Relationship Id="rId27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6" Target="salesforce-positio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AF68F3AE31A42A052A3FF76667E0E" ma:contentTypeVersion="9" ma:contentTypeDescription="Create a new document." ma:contentTypeScope="" ma:versionID="f8d09e04ec4e21e4ecd6835ee1794fdd">
  <xsd:schema xmlns:xsd="http://www.w3.org/2001/XMLSchema" xmlns:xs="http://www.w3.org/2001/XMLSchema" xmlns:p="http://schemas.microsoft.com/office/2006/metadata/properties" xmlns:ns2="b7356223-0263-4448-b536-3f108607ef54" xmlns:ns3="46cd17fe-1691-405e-9993-ca17dc78972a" targetNamespace="http://schemas.microsoft.com/office/2006/metadata/properties" ma:root="true" ma:fieldsID="76a567f6f2208b8a7dced8a26e4cfcc2" ns2:_="" ns3:_="">
    <xsd:import namespace="b7356223-0263-4448-b536-3f108607ef54"/>
    <xsd:import namespace="46cd17fe-1691-405e-9993-ca17dc7897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56223-0263-4448-b536-3f108607ef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009d68-6f45-4573-8555-14c6f81db4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cd17fe-1691-405e-9993-ca17dc7897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cdb512-6a4e-414e-9abf-dc85d1dc4604}" ma:internalName="TaxCatchAll" ma:showField="CatchAllData" ma:web="46cd17fe-1691-405e-9993-ca17dc789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cd17fe-1691-405e-9993-ca17dc78972a" xsi:nil="true"/>
    <lcf76f155ced4ddcb4097134ff3c332f xmlns="b7356223-0263-4448-b536-3f108607ef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343296-C5DF-4367-83A4-DBFCCBBC9D20}"/>
</file>

<file path=customXml/itemProps2.xml><?xml version="1.0" encoding="utf-8"?>
<ds:datastoreItem xmlns:ds="http://schemas.openxmlformats.org/officeDocument/2006/customXml" ds:itemID="{7CEC4D95-0D12-47D8-81E2-304700640147}"/>
</file>

<file path=customXml/itemProps3.xml><?xml version="1.0" encoding="utf-8"?>
<ds:datastoreItem xmlns:ds="http://schemas.openxmlformats.org/officeDocument/2006/customXml" ds:itemID="{8BF91FB8-8144-4B25-86A7-C4180B591E7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2026-03-19T03:26:47Z</dcterms:created>
  <dcterms:modified xsi:type="dcterms:W3CDTF">2026-03-19T03:26:47Z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0x010100D2AAF68F3AE31A42A052A3FF76667E0E</vt:lpwstr>
  </property>
</Properties>
</file>