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Tax Saving Recommendations</w:t>
      </w:r>
    </w:p>
    <w:p/>
    <w:p>
      <w:pPr>
        <w:pStyle w:val="ListBullet"/>
      </w:pPr>
      <w:r>
        <w:rPr>
          <w:b/>
          <w:sz w:val="22"/>
        </w:rPr>
        <w:t>Maximize 401(k) Contributions</w:t>
      </w:r>
      <w:r>
        <w:rPr>
          <w:b w:val="0"/>
          <w:sz w:val="22"/>
        </w:rPr>
        <w:t>: The documents show active 401(k) contributions ($770.83 per pay period) with year-to-date employee deferrals of $11,562.45 and employer contributions. Since the 2026 annual limit is $24,500 plus catch-up contributions if eligible, increasing pre-tax 401(k) contributions could reduce taxable income further and defer taxes on earnings.</w:t>
      </w:r>
    </w:p>
    <w:p>
      <w:pPr>
        <w:pStyle w:val="ListBullet"/>
      </w:pPr>
      <w:r>
        <w:rPr>
          <w:b/>
          <w:sz w:val="22"/>
        </w:rPr>
        <w:t>Utilize Health Savings Account (HSA) Benefits</w:t>
      </w:r>
      <w:r>
        <w:rPr>
          <w:b w:val="0"/>
          <w:sz w:val="22"/>
        </w:rPr>
        <w:t>: Employer and employee HSA contributions are listed ($125 employee and $62.50 employer per pay period). Maximizing HSA contributions can reduce taxable income because contributions are pre-tax, and qualified medical expenses can be paid tax-free, offering a triple tax advantage.</w:t>
      </w:r>
    </w:p>
    <w:p>
      <w:pPr>
        <w:pStyle w:val="ListBullet"/>
      </w:pPr>
      <w:r>
        <w:rPr>
          <w:b/>
          <w:sz w:val="22"/>
        </w:rPr>
        <w:t>Review Tax Implications of Mortgage Interest</w:t>
      </w:r>
      <w:r>
        <w:rPr>
          <w:b w:val="0"/>
          <w:sz w:val="22"/>
        </w:rPr>
        <w:t>: The mortgage statement shows interest paid YTD of $11,234.84 at a 5.625% rate. Deducting mortgage interest on Schedule A might lower taxable income if itemizing is beneficial, especially since the mortgage balance and payments are substantial. Taxpayer should verify if itemizing exceeds the standard deduction and is advantageous.</w:t>
      </w:r>
    </w:p>
    <w:p>
      <w:pPr>
        <w:pStyle w:val="ListBullet"/>
      </w:pPr>
      <w:r>
        <w:rPr>
          <w:b/>
          <w:sz w:val="22"/>
        </w:rPr>
        <w:t>Consider Investment Allocation for Tax Efficiency</w:t>
      </w:r>
      <w:r>
        <w:rPr>
          <w:b w:val="0"/>
          <w:sz w:val="22"/>
        </w:rPr>
        <w:t>: The 401(k) holdings and brokerage statements indicate substantial equity investments both tax-deferred (401(k)) and taxable brokerage accounts with significant unrealized gains. Placing higher-growth or actively traded investments inside tax-advantaged accounts and holding tax-efficient investments in taxable accounts may reduce taxable events and long-term tax liability.</w:t>
      </w:r>
    </w:p>
    <w:p>
      <w:pPr>
        <w:pStyle w:val="ListBullet"/>
      </w:pPr>
      <w:r>
        <w:rPr>
          <w:b/>
          <w:sz w:val="22"/>
        </w:rPr>
        <w:t>Update and Claim All Available Credits and Withholdings</w:t>
      </w:r>
      <w:r>
        <w:rPr>
          <w:b w:val="0"/>
          <w:sz w:val="22"/>
        </w:rPr>
        <w:t>: The W-2 shows multiple deductions and benefits (dependent care benefits reported as $0, pre-tax deductions for dental, vision, health). Ensuring appropriate tax credits (e.g., dependent care if applicable) and aligning withholding status on W-4 forms could optimize tax withholding and potentially reduce tax owed or increase refunds. Consulting with a tax professional on proper withholding and credits could be beneficial.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