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5E413" w14:textId="08275D74" w:rsidR="00AD01A1" w:rsidRPr="004C6AC5" w:rsidRDefault="00AD01A1" w:rsidP="00AD01A1">
      <w:pPr>
        <w:pStyle w:val="Heading3"/>
        <w:numPr>
          <w:ilvl w:val="0"/>
          <w:numId w:val="0"/>
        </w:numPr>
        <w:bidi w:val="0"/>
        <w:spacing w:line="360" w:lineRule="auto"/>
        <w:jc w:val="both"/>
        <w:rPr>
          <w:rFonts w:eastAsiaTheme="minorEastAsia"/>
        </w:rPr>
      </w:pPr>
      <w:r w:rsidRPr="004C6AC5">
        <w:rPr>
          <w:rFonts w:eastAsiaTheme="minorEastAsia"/>
        </w:rPr>
        <w:t xml:space="preserve">Empirical Bayes Smoothing of </w:t>
      </w:r>
      <w:r>
        <w:rPr>
          <w:rFonts w:eastAsiaTheme="minorEastAsia"/>
        </w:rPr>
        <w:t>Prevalence</w:t>
      </w:r>
      <w:r w:rsidRPr="004C6AC5">
        <w:rPr>
          <w:rFonts w:eastAsiaTheme="minorEastAsia"/>
        </w:rPr>
        <w:t xml:space="preserve"> by </w:t>
      </w:r>
      <w:r>
        <w:rPr>
          <w:rFonts w:eastAsiaTheme="minorEastAsia"/>
        </w:rPr>
        <w:t>Beta-binomial</w:t>
      </w:r>
      <w:r w:rsidRPr="004C6AC5">
        <w:rPr>
          <w:rFonts w:eastAsiaTheme="minorEastAsia"/>
        </w:rPr>
        <w:t xml:space="preserve"> Model </w:t>
      </w:r>
    </w:p>
    <w:p w14:paraId="69D3EEAF" w14:textId="52196777" w:rsidR="00EE020B"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Suppose in 15 districts, we interviewed 424 participants of whom 79 reported alcohol use in the past week. By stratifying at the district level, prevalence estimates vary from zero to one (100%). Even if we exclude 0% and 100%, the range will be from 5% and 66%. </w:t>
      </w:r>
      <w:bookmarkStart w:id="0" w:name="_GoBack"/>
      <w:bookmarkEnd w:id="0"/>
    </w:p>
    <w:p w14:paraId="0278A584" w14:textId="77777777" w:rsidR="00EE020B" w:rsidRDefault="00EE020B" w:rsidP="00EE020B">
      <w:pPr>
        <w:spacing w:line="360" w:lineRule="auto"/>
        <w:jc w:val="both"/>
        <w:rPr>
          <w:rFonts w:ascii="Cambria Math" w:eastAsiaTheme="minorEastAsia" w:hAnsi="Cambria Math" w:cstheme="majorBidi"/>
          <w:sz w:val="24"/>
          <w:szCs w:val="24"/>
        </w:rPr>
      </w:pPr>
      <w:r>
        <w:rPr>
          <w:rFonts w:asciiTheme="majorBidi" w:eastAsiaTheme="minorEastAsia" w:hAnsiTheme="majorBidi" w:cstheme="majorBidi"/>
          <w:sz w:val="24"/>
          <w:szCs w:val="24"/>
        </w:rPr>
        <w:t xml:space="preserve">To apply Bayesian framework for this analysis, we should calculate the log-likelihood function based on a beta-binomial distribution. Based on Equation 4.3, we should substitute appropriate values of </w:t>
      </w:r>
      <w:r>
        <w:rPr>
          <w:rFonts w:ascii="Cambria Math" w:eastAsiaTheme="minorEastAsia" w:hAnsi="Cambria Math" w:cstheme="majorBidi"/>
          <w:sz w:val="24"/>
          <w:szCs w:val="24"/>
        </w:rPr>
        <w:t xml:space="preserve">𝜶, 𝜷, and </w:t>
      </w:r>
      <w:r>
        <w:rPr>
          <w:rFonts w:asciiTheme="majorBidi" w:eastAsiaTheme="minorEastAsia" w:hAnsiTheme="majorBidi" w:cstheme="majorBidi"/>
          <w:sz w:val="24"/>
          <w:szCs w:val="24"/>
        </w:rPr>
        <w:t xml:space="preserve">P </w:t>
      </w:r>
      <w:r>
        <w:rPr>
          <w:rFonts w:ascii="Cambria Math" w:eastAsiaTheme="minorEastAsia" w:hAnsi="Cambria Math" w:cstheme="majorBidi"/>
          <w:sz w:val="24"/>
          <w:szCs w:val="24"/>
        </w:rPr>
        <w:t xml:space="preserve">that </w:t>
      </w:r>
      <w:r>
        <w:rPr>
          <w:rFonts w:asciiTheme="majorBidi" w:eastAsiaTheme="minorEastAsia" w:hAnsiTheme="majorBidi" w:cstheme="majorBidi"/>
          <w:sz w:val="24"/>
          <w:szCs w:val="24"/>
        </w:rPr>
        <w:t xml:space="preserve">maximize the log-likelihood function. Keep in mind that </w:t>
      </w:r>
      <m:oMath>
        <m:r>
          <w:rPr>
            <w:rFonts w:ascii="Cambria Math" w:eastAsiaTheme="minorEastAsia" w:hAnsi="Cambria Math" w:cstheme="majorBidi"/>
            <w:sz w:val="24"/>
            <w:szCs w:val="24"/>
          </w:rPr>
          <m:t>P=</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α</m:t>
            </m:r>
          </m:num>
          <m:den>
            <m:r>
              <w:rPr>
                <w:rFonts w:ascii="Cambria Math" w:eastAsiaTheme="minorEastAsia" w:hAnsi="Cambria Math" w:cstheme="majorBidi"/>
                <w:sz w:val="24"/>
                <w:szCs w:val="24"/>
              </w:rPr>
              <m:t>α+β</m:t>
            </m:r>
          </m:den>
        </m:f>
      </m:oMath>
      <w:r>
        <w:rPr>
          <w:rFonts w:asciiTheme="majorBidi" w:eastAsiaTheme="minorEastAsia" w:hAnsiTheme="majorBidi" w:cstheme="majorBidi"/>
          <w:sz w:val="24"/>
          <w:szCs w:val="24"/>
        </w:rPr>
        <w:t xml:space="preserve">. All we need to do is to start with an initial guess of these </w:t>
      </w:r>
      <w:r>
        <w:rPr>
          <w:rFonts w:ascii="Cambria Math" w:eastAsiaTheme="minorEastAsia" w:hAnsi="Cambria Math" w:cstheme="majorBidi"/>
          <w:sz w:val="24"/>
          <w:szCs w:val="24"/>
        </w:rPr>
        <w:t>𝜶 and 𝜷</w:t>
      </w:r>
      <w:r>
        <w:rPr>
          <w:rFonts w:asciiTheme="majorBidi" w:eastAsiaTheme="minorEastAsia" w:hAnsiTheme="majorBidi" w:cstheme="majorBidi"/>
          <w:sz w:val="24"/>
          <w:szCs w:val="24"/>
        </w:rPr>
        <w:t xml:space="preserve"> parameters and to calculate the log-likelihood function. Let’s start with </w:t>
      </w:r>
      <w:r>
        <w:rPr>
          <w:rFonts w:ascii="Cambria Math" w:eastAsiaTheme="minorEastAsia" w:hAnsi="Cambria Math" w:cstheme="majorBidi"/>
          <w:sz w:val="24"/>
          <w:szCs w:val="24"/>
        </w:rPr>
        <w:t xml:space="preserve">𝜶=2, 𝜷=5, which consequently gives </w:t>
      </w:r>
      <w:r>
        <w:rPr>
          <w:rFonts w:asciiTheme="majorBidi" w:eastAsiaTheme="minorEastAsia" w:hAnsiTheme="majorBidi" w:cstheme="majorBidi"/>
          <w:sz w:val="24"/>
          <w:szCs w:val="24"/>
        </w:rPr>
        <w:t>P=0.286</w:t>
      </w:r>
      <w:r>
        <w:rPr>
          <w:rFonts w:ascii="Cambria Math" w:eastAsiaTheme="minorEastAsia" w:hAnsi="Cambria Math" w:cstheme="majorBidi"/>
          <w:sz w:val="24"/>
          <w:szCs w:val="24"/>
        </w:rPr>
        <w:t>. These values are entered into M5 to M7 cells in an Excel sheet (Figure 4.1).</w:t>
      </w:r>
    </w:p>
    <w:p w14:paraId="697268AE" w14:textId="77777777" w:rsidR="00EE020B" w:rsidRDefault="00EE020B" w:rsidP="00EE020B">
      <w:pPr>
        <w:spacing w:line="360" w:lineRule="auto"/>
        <w:jc w:val="both"/>
        <w:rPr>
          <w:rFonts w:ascii="Cambria Math" w:eastAsiaTheme="minorEastAsia" w:hAnsi="Cambria Math" w:cstheme="majorBidi"/>
          <w:sz w:val="24"/>
          <w:szCs w:val="24"/>
        </w:rPr>
      </w:pPr>
    </w:p>
    <w:p w14:paraId="6526D019" w14:textId="77777777" w:rsidR="00EE020B" w:rsidRDefault="00EE020B" w:rsidP="00EE020B">
      <w:pPr>
        <w:keepNext/>
        <w:spacing w:line="360" w:lineRule="auto"/>
        <w:jc w:val="both"/>
      </w:pPr>
      <w:r w:rsidRPr="00997C78">
        <w:rPr>
          <w:noProof/>
          <w:lang w:val="en-AU" w:eastAsia="en-AU"/>
        </w:rPr>
        <w:drawing>
          <wp:inline distT="0" distB="0" distL="0" distR="0" wp14:anchorId="4A48CF94" wp14:editId="665033C9">
            <wp:extent cx="5943600" cy="2748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8280"/>
                    </a:xfrm>
                    <a:prstGeom prst="rect">
                      <a:avLst/>
                    </a:prstGeom>
                  </pic:spPr>
                </pic:pic>
              </a:graphicData>
            </a:graphic>
          </wp:inline>
        </w:drawing>
      </w:r>
    </w:p>
    <w:p w14:paraId="1D0A4DB7" w14:textId="77777777" w:rsidR="00EE020B" w:rsidRPr="00997C78" w:rsidRDefault="00EE020B" w:rsidP="00EE020B">
      <w:pPr>
        <w:pStyle w:val="Caption"/>
        <w:jc w:val="center"/>
        <w:rPr>
          <w:rFonts w:ascii="Cambria Math" w:eastAsiaTheme="minorEastAsia" w:hAnsi="Cambria Math" w:cstheme="majorBidi"/>
          <w:b/>
          <w:bCs/>
          <w:i w:val="0"/>
          <w:iCs w:val="0"/>
          <w:color w:val="000000" w:themeColor="text1"/>
          <w:sz w:val="24"/>
          <w:szCs w:val="24"/>
        </w:rPr>
      </w:pPr>
      <w:r w:rsidRPr="00437C40">
        <w:rPr>
          <w:b/>
          <w:bCs/>
          <w:i w:val="0"/>
          <w:iCs w:val="0"/>
          <w:color w:val="000000" w:themeColor="text1"/>
        </w:rPr>
        <w:t>Figure 4.1: Calculation of nominator and denominator of the beta-binomial likelihood function</w:t>
      </w:r>
    </w:p>
    <w:p w14:paraId="2F5417E9" w14:textId="77777777" w:rsidR="00EE020B" w:rsidRPr="00437C40" w:rsidRDefault="00EE020B" w:rsidP="00EE020B">
      <w:pPr>
        <w:spacing w:line="360" w:lineRule="auto"/>
        <w:jc w:val="both"/>
        <w:rPr>
          <w:rFonts w:ascii="Cambria Math" w:eastAsiaTheme="minorEastAsia" w:hAnsi="Cambria Math" w:cstheme="majorBidi"/>
          <w:sz w:val="24"/>
          <w:szCs w:val="24"/>
        </w:rPr>
      </w:pPr>
      <w:r>
        <w:rPr>
          <w:rFonts w:asciiTheme="majorBidi" w:eastAsiaTheme="minorEastAsia" w:hAnsiTheme="majorBidi" w:cstheme="majorBidi"/>
          <w:sz w:val="24"/>
          <w:szCs w:val="24"/>
        </w:rPr>
        <w:t>The function GAMMALN returns the logarithm of a gamma function. This function is used to calculate the numerator (Column F) and denominator (Column G) of Equation 4.2 separately. The difference of these two columns was calculated (column H). Summing values in column H gives the log-likelihood function value corresponding to the initial values (cell H17).</w:t>
      </w:r>
    </w:p>
    <w:p w14:paraId="4826027C" w14:textId="77777777" w:rsidR="00EE020B"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Now, we should maximize cell H17 by changing </w:t>
      </w:r>
      <w:r>
        <w:rPr>
          <w:rFonts w:ascii="Cambria Math" w:eastAsiaTheme="minorEastAsia" w:hAnsi="Cambria Math" w:cstheme="majorBidi"/>
          <w:sz w:val="24"/>
          <w:szCs w:val="24"/>
        </w:rPr>
        <w:t xml:space="preserve">𝜶 and 𝜷 </w:t>
      </w:r>
      <w:r>
        <w:rPr>
          <w:rFonts w:asciiTheme="majorBidi" w:eastAsiaTheme="minorEastAsia" w:hAnsiTheme="majorBidi" w:cstheme="majorBidi"/>
          <w:sz w:val="24"/>
          <w:szCs w:val="24"/>
        </w:rPr>
        <w:t xml:space="preserve">(M5 and M6). In the data tab, there is a function called Solver. Figure 4.2 shows how to use Solver to address our optimization problem. We call Solver to maximize cell H17, by changing cells M5 and M7. The Solver </w:t>
      </w:r>
      <w:r>
        <w:rPr>
          <w:rFonts w:asciiTheme="majorBidi" w:eastAsiaTheme="minorEastAsia" w:hAnsiTheme="majorBidi" w:cstheme="majorBidi"/>
          <w:sz w:val="24"/>
          <w:szCs w:val="24"/>
        </w:rPr>
        <w:lastRenderedPageBreak/>
        <w:t xml:space="preserve">function estimates parameters at </w:t>
      </w:r>
      <w:r>
        <w:rPr>
          <w:rFonts w:ascii="Cambria Math" w:eastAsiaTheme="minorEastAsia" w:hAnsi="Cambria Math" w:cstheme="majorBidi"/>
          <w:sz w:val="24"/>
          <w:szCs w:val="24"/>
        </w:rPr>
        <w:t>𝜶=5.99, and 𝜷 =25.65</w:t>
      </w:r>
      <w:r>
        <w:rPr>
          <w:rFonts w:asciiTheme="majorBidi" w:eastAsiaTheme="minorEastAsia" w:hAnsiTheme="majorBidi" w:cstheme="majorBidi"/>
          <w:sz w:val="24"/>
          <w:szCs w:val="24"/>
        </w:rPr>
        <w:t>. Using these values, it is now easy to calculate the posterior probabilities. Remember that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 xml:space="preserve"> µ</m:t>
            </m:r>
          </m:e>
          <m:sub>
            <m:r>
              <w:rPr>
                <w:rFonts w:ascii="Cambria Math" w:eastAsiaTheme="minorEastAsia" w:hAnsi="Cambria Math" w:cstheme="majorBidi"/>
                <w:sz w:val="24"/>
                <w:szCs w:val="24"/>
              </w:rPr>
              <m:t>Posterior</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α+x</m:t>
            </m:r>
          </m:num>
          <m:den>
            <m:r>
              <w:rPr>
                <w:rFonts w:ascii="Cambria Math" w:eastAsiaTheme="minorEastAsia" w:hAnsi="Cambria Math" w:cstheme="majorBidi"/>
                <w:sz w:val="24"/>
                <w:szCs w:val="24"/>
              </w:rPr>
              <m:t>α+β+n</m:t>
            </m:r>
          </m:den>
        </m:f>
      </m:oMath>
      <w:r>
        <w:rPr>
          <w:rFonts w:asciiTheme="majorBidi" w:eastAsiaTheme="minorEastAsia" w:hAnsiTheme="majorBidi" w:cstheme="majorBidi"/>
          <w:sz w:val="24"/>
          <w:szCs w:val="24"/>
        </w:rPr>
        <w:t xml:space="preserve">. </w:t>
      </w:r>
    </w:p>
    <w:p w14:paraId="753A3BC4" w14:textId="77777777" w:rsidR="00EE020B" w:rsidRDefault="00EE020B" w:rsidP="00EE020B">
      <w:pPr>
        <w:spacing w:line="360" w:lineRule="auto"/>
        <w:jc w:val="both"/>
        <w:rPr>
          <w:rFonts w:asciiTheme="majorBidi" w:eastAsiaTheme="minorEastAsia" w:hAnsiTheme="majorBidi" w:cstheme="majorBidi"/>
          <w:sz w:val="24"/>
          <w:szCs w:val="24"/>
        </w:rPr>
      </w:pPr>
    </w:p>
    <w:p w14:paraId="5613BD8C" w14:textId="77777777" w:rsidR="00EE020B" w:rsidRDefault="00EE020B" w:rsidP="00EE020B">
      <w:pPr>
        <w:keepNext/>
        <w:spacing w:line="360" w:lineRule="auto"/>
        <w:jc w:val="both"/>
      </w:pPr>
      <w:r w:rsidRPr="00997C78">
        <w:rPr>
          <w:rFonts w:asciiTheme="majorBidi" w:eastAsiaTheme="minorEastAsia" w:hAnsiTheme="majorBidi" w:cstheme="majorBidi"/>
          <w:noProof/>
          <w:sz w:val="24"/>
          <w:szCs w:val="24"/>
          <w:lang w:val="en-AU" w:eastAsia="en-AU"/>
        </w:rPr>
        <w:drawing>
          <wp:inline distT="0" distB="0" distL="0" distR="0" wp14:anchorId="2DDF89C0" wp14:editId="73B45B85">
            <wp:extent cx="5943600" cy="3257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7550"/>
                    </a:xfrm>
                    <a:prstGeom prst="rect">
                      <a:avLst/>
                    </a:prstGeom>
                  </pic:spPr>
                </pic:pic>
              </a:graphicData>
            </a:graphic>
          </wp:inline>
        </w:drawing>
      </w:r>
    </w:p>
    <w:p w14:paraId="4E5B7AB3" w14:textId="77777777" w:rsidR="00EE020B" w:rsidRPr="00997C78" w:rsidRDefault="00EE020B" w:rsidP="00EE020B">
      <w:pPr>
        <w:pStyle w:val="Caption"/>
        <w:jc w:val="center"/>
        <w:rPr>
          <w:b/>
          <w:bCs/>
          <w:i w:val="0"/>
          <w:iCs w:val="0"/>
          <w:color w:val="000000" w:themeColor="text1"/>
        </w:rPr>
      </w:pPr>
      <w:r w:rsidRPr="00997C78">
        <w:rPr>
          <w:b/>
          <w:bCs/>
          <w:i w:val="0"/>
          <w:iCs w:val="0"/>
          <w:color w:val="000000" w:themeColor="text1"/>
        </w:rPr>
        <w:t>Figure 4.</w:t>
      </w:r>
      <w:r>
        <w:rPr>
          <w:b/>
          <w:bCs/>
          <w:i w:val="0"/>
          <w:iCs w:val="0"/>
          <w:color w:val="000000" w:themeColor="text1"/>
        </w:rPr>
        <w:t>2</w:t>
      </w:r>
      <w:r w:rsidRPr="00997C78">
        <w:rPr>
          <w:b/>
          <w:bCs/>
          <w:i w:val="0"/>
          <w:iCs w:val="0"/>
          <w:color w:val="000000" w:themeColor="text1"/>
        </w:rPr>
        <w:t xml:space="preserve">. Optimization of initial values </w:t>
      </w:r>
      <w:r>
        <w:rPr>
          <w:b/>
          <w:bCs/>
          <w:i w:val="0"/>
          <w:iCs w:val="0"/>
          <w:color w:val="000000" w:themeColor="text1"/>
        </w:rPr>
        <w:t>– Solver Parameters Window</w:t>
      </w:r>
    </w:p>
    <w:p w14:paraId="267F12E0" w14:textId="77777777" w:rsidR="00EE020B" w:rsidRDefault="00EE020B" w:rsidP="00EE020B">
      <w:pPr>
        <w:spacing w:line="360" w:lineRule="auto"/>
        <w:jc w:val="both"/>
        <w:rPr>
          <w:rFonts w:asciiTheme="majorBidi" w:eastAsiaTheme="minorEastAsia" w:hAnsiTheme="majorBidi" w:cstheme="majorBidi"/>
          <w:sz w:val="24"/>
          <w:szCs w:val="24"/>
        </w:rPr>
      </w:pPr>
    </w:p>
    <w:p w14:paraId="7403D9CA" w14:textId="77777777" w:rsidR="00EE020B" w:rsidRDefault="00EE020B" w:rsidP="00EE020B">
      <w:pPr>
        <w:keepNext/>
        <w:spacing w:line="360" w:lineRule="auto"/>
        <w:jc w:val="both"/>
      </w:pPr>
      <w:r w:rsidRPr="00997C78">
        <w:rPr>
          <w:rFonts w:asciiTheme="majorBidi" w:eastAsiaTheme="minorEastAsia" w:hAnsiTheme="majorBidi" w:cstheme="majorBidi"/>
          <w:noProof/>
          <w:sz w:val="24"/>
          <w:szCs w:val="24"/>
          <w:lang w:val="en-AU" w:eastAsia="en-AU"/>
        </w:rPr>
        <w:drawing>
          <wp:inline distT="0" distB="0" distL="0" distR="0" wp14:anchorId="6927F62C" wp14:editId="3D1BF5BD">
            <wp:extent cx="5943600" cy="2630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805"/>
                    </a:xfrm>
                    <a:prstGeom prst="rect">
                      <a:avLst/>
                    </a:prstGeom>
                  </pic:spPr>
                </pic:pic>
              </a:graphicData>
            </a:graphic>
          </wp:inline>
        </w:drawing>
      </w:r>
    </w:p>
    <w:p w14:paraId="52C6FFFC" w14:textId="77777777" w:rsidR="00EE020B" w:rsidRPr="00997C78" w:rsidRDefault="00EE020B" w:rsidP="00EE020B">
      <w:pPr>
        <w:pStyle w:val="Caption"/>
        <w:jc w:val="center"/>
        <w:rPr>
          <w:b/>
          <w:bCs/>
          <w:i w:val="0"/>
          <w:iCs w:val="0"/>
          <w:color w:val="000000" w:themeColor="text1"/>
        </w:rPr>
      </w:pPr>
      <w:r w:rsidRPr="00997C78">
        <w:rPr>
          <w:b/>
          <w:bCs/>
          <w:i w:val="0"/>
          <w:iCs w:val="0"/>
          <w:color w:val="000000" w:themeColor="text1"/>
        </w:rPr>
        <w:t>Figure 4.</w:t>
      </w:r>
      <w:r>
        <w:rPr>
          <w:b/>
          <w:bCs/>
          <w:i w:val="0"/>
          <w:iCs w:val="0"/>
          <w:color w:val="000000" w:themeColor="text1"/>
        </w:rPr>
        <w:t>3</w:t>
      </w:r>
      <w:r w:rsidRPr="00997C78">
        <w:rPr>
          <w:b/>
          <w:bCs/>
          <w:i w:val="0"/>
          <w:iCs w:val="0"/>
          <w:color w:val="000000" w:themeColor="text1"/>
        </w:rPr>
        <w:t xml:space="preserve">. Solver </w:t>
      </w:r>
      <w:r>
        <w:rPr>
          <w:b/>
          <w:bCs/>
          <w:i w:val="0"/>
          <w:iCs w:val="0"/>
          <w:color w:val="000000" w:themeColor="text1"/>
        </w:rPr>
        <w:t>Results</w:t>
      </w:r>
    </w:p>
    <w:p w14:paraId="37574C13" w14:textId="77777777" w:rsidR="00EE020B" w:rsidRDefault="00EE020B" w:rsidP="00EE020B">
      <w:pPr>
        <w:spacing w:line="360" w:lineRule="auto"/>
        <w:jc w:val="both"/>
        <w:rPr>
          <w:rFonts w:asciiTheme="majorBidi" w:eastAsiaTheme="minorEastAsia" w:hAnsiTheme="majorBidi" w:cstheme="majorBidi"/>
          <w:sz w:val="24"/>
          <w:szCs w:val="24"/>
        </w:rPr>
      </w:pPr>
    </w:p>
    <w:p w14:paraId="2B0E5377" w14:textId="77777777" w:rsidR="00EE020B"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 xml:space="preserve">For example, in district 2, the observed (from data) prevalence for alcohol is 0.05, but the posterior prevalence is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µ</m:t>
            </m:r>
          </m:e>
          <m:sub>
            <m:r>
              <w:rPr>
                <w:rFonts w:ascii="Cambria Math" w:eastAsiaTheme="minorEastAsia" w:hAnsi="Cambria Math" w:cstheme="majorBidi"/>
                <w:sz w:val="24"/>
                <w:szCs w:val="24"/>
              </w:rPr>
              <m:t>Posterior</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α+x</m:t>
            </m:r>
          </m:num>
          <m:den>
            <m:r>
              <w:rPr>
                <w:rFonts w:ascii="Cambria Math" w:eastAsiaTheme="minorEastAsia" w:hAnsi="Cambria Math" w:cstheme="majorBidi"/>
                <w:sz w:val="24"/>
                <w:szCs w:val="24"/>
              </w:rPr>
              <m:t>α+β+n</m:t>
            </m:r>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5.99+1</m:t>
            </m:r>
          </m:num>
          <m:den>
            <m:r>
              <w:rPr>
                <w:rFonts w:ascii="Cambria Math" w:eastAsiaTheme="minorEastAsia" w:hAnsi="Cambria Math" w:cstheme="majorBidi"/>
                <w:sz w:val="24"/>
                <w:szCs w:val="24"/>
              </w:rPr>
              <m:t>5.99+25.65+20</m:t>
            </m:r>
          </m:den>
        </m:f>
        <m:r>
          <w:rPr>
            <w:rFonts w:ascii="Cambria Math" w:eastAsiaTheme="minorEastAsia" w:hAnsi="Cambria Math" w:cstheme="majorBidi"/>
            <w:sz w:val="24"/>
            <w:szCs w:val="24"/>
          </w:rPr>
          <m:t>=0.135</m:t>
        </m:r>
      </m:oMath>
      <w:r>
        <w:rPr>
          <w:rFonts w:asciiTheme="majorBidi" w:eastAsiaTheme="minorEastAsia" w:hAnsiTheme="majorBidi" w:cstheme="majorBidi"/>
          <w:sz w:val="24"/>
          <w:szCs w:val="24"/>
        </w:rPr>
        <w:t>.</w:t>
      </w:r>
    </w:p>
    <w:p w14:paraId="5FA4B88C" w14:textId="77777777" w:rsidR="00EE020B"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Figure 4.3 and Table 4.1 show the posterior probability estimates and the rank of districts (based on the prevalence of alcohol use). While sample statistics (observed prevalence) varied from 0 to 1, smoothed prevalence ranged from 0.12 to 0.28. Change in the estimations for districts with smaller sample size was more remarkable. As you noted, the ranking of districts also changed. For example, the rank of district 8 changed from first to seventh.</w:t>
      </w:r>
    </w:p>
    <w:p w14:paraId="4D48B52A" w14:textId="77777777" w:rsidR="00EE020B" w:rsidRPr="00F72C10" w:rsidRDefault="00EE020B" w:rsidP="00EE020B">
      <w:pPr>
        <w:spacing w:line="360" w:lineRule="auto"/>
        <w:jc w:val="center"/>
        <w:rPr>
          <w:rFonts w:asciiTheme="majorBidi" w:eastAsiaTheme="minorEastAsia" w:hAnsiTheme="majorBidi" w:cstheme="majorBidi"/>
          <w:b/>
          <w:bCs/>
          <w:sz w:val="24"/>
          <w:szCs w:val="24"/>
        </w:rPr>
      </w:pPr>
      <w:r w:rsidRPr="00F72C10">
        <w:rPr>
          <w:rFonts w:asciiTheme="majorBidi" w:eastAsiaTheme="minorEastAsia" w:hAnsiTheme="majorBidi" w:cstheme="majorBidi"/>
          <w:b/>
          <w:bCs/>
          <w:sz w:val="24"/>
          <w:szCs w:val="24"/>
        </w:rPr>
        <w:t>Table 4.1: Comparison of sample and Bayesian prevalence and ranking of districts</w:t>
      </w:r>
    </w:p>
    <w:tbl>
      <w:tblPr>
        <w:tblStyle w:val="TableGrid"/>
        <w:tblW w:w="0" w:type="auto"/>
        <w:jc w:val="center"/>
        <w:tblLook w:val="04A0" w:firstRow="1" w:lastRow="0" w:firstColumn="1" w:lastColumn="0" w:noHBand="0" w:noVBand="1"/>
      </w:tblPr>
      <w:tblGrid>
        <w:gridCol w:w="1380"/>
        <w:gridCol w:w="700"/>
        <w:gridCol w:w="840"/>
        <w:gridCol w:w="1190"/>
        <w:gridCol w:w="1563"/>
        <w:gridCol w:w="1563"/>
        <w:gridCol w:w="1723"/>
      </w:tblGrid>
      <w:tr w:rsidR="00EE020B" w:rsidRPr="00090E92" w14:paraId="637F5E0A" w14:textId="77777777" w:rsidTr="00926F04">
        <w:trPr>
          <w:trHeight w:val="300"/>
          <w:jc w:val="center"/>
        </w:trPr>
        <w:tc>
          <w:tcPr>
            <w:tcW w:w="1380" w:type="dxa"/>
            <w:noWrap/>
            <w:hideMark/>
          </w:tcPr>
          <w:p w14:paraId="795AF215"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District_No</w:t>
            </w:r>
          </w:p>
        </w:tc>
        <w:tc>
          <w:tcPr>
            <w:tcW w:w="700" w:type="dxa"/>
            <w:noWrap/>
            <w:hideMark/>
          </w:tcPr>
          <w:p w14:paraId="31060A10"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x</w:t>
            </w:r>
          </w:p>
        </w:tc>
        <w:tc>
          <w:tcPr>
            <w:tcW w:w="840" w:type="dxa"/>
            <w:noWrap/>
            <w:hideMark/>
          </w:tcPr>
          <w:p w14:paraId="4FBCDA28"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n</w:t>
            </w:r>
          </w:p>
        </w:tc>
        <w:tc>
          <w:tcPr>
            <w:tcW w:w="1190" w:type="dxa"/>
            <w:noWrap/>
            <w:hideMark/>
          </w:tcPr>
          <w:p w14:paraId="1B0A2246"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Sample_P</w:t>
            </w:r>
          </w:p>
        </w:tc>
        <w:tc>
          <w:tcPr>
            <w:tcW w:w="1563" w:type="dxa"/>
          </w:tcPr>
          <w:p w14:paraId="6ED1A6ED"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Sample_Rank</w:t>
            </w:r>
          </w:p>
        </w:tc>
        <w:tc>
          <w:tcPr>
            <w:tcW w:w="1563" w:type="dxa"/>
          </w:tcPr>
          <w:p w14:paraId="7BFDC795" w14:textId="77777777" w:rsidR="00EE020B"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Bayesian_P</w:t>
            </w:r>
          </w:p>
        </w:tc>
        <w:tc>
          <w:tcPr>
            <w:tcW w:w="1723" w:type="dxa"/>
          </w:tcPr>
          <w:p w14:paraId="51DE9823" w14:textId="77777777" w:rsidR="00EE020B"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Bayesian_Rank</w:t>
            </w:r>
          </w:p>
        </w:tc>
      </w:tr>
      <w:tr w:rsidR="00EE020B" w:rsidRPr="00090E92" w14:paraId="41C3D157" w14:textId="77777777" w:rsidTr="00926F04">
        <w:trPr>
          <w:trHeight w:val="300"/>
          <w:jc w:val="center"/>
        </w:trPr>
        <w:tc>
          <w:tcPr>
            <w:tcW w:w="1380" w:type="dxa"/>
            <w:noWrap/>
            <w:hideMark/>
          </w:tcPr>
          <w:p w14:paraId="284791FB"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700" w:type="dxa"/>
            <w:noWrap/>
            <w:hideMark/>
          </w:tcPr>
          <w:p w14:paraId="5CB816A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10</w:t>
            </w:r>
          </w:p>
        </w:tc>
        <w:tc>
          <w:tcPr>
            <w:tcW w:w="840" w:type="dxa"/>
            <w:noWrap/>
            <w:hideMark/>
          </w:tcPr>
          <w:p w14:paraId="1D4B22E0"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105</w:t>
            </w:r>
          </w:p>
        </w:tc>
        <w:tc>
          <w:tcPr>
            <w:tcW w:w="1190" w:type="dxa"/>
            <w:noWrap/>
            <w:hideMark/>
          </w:tcPr>
          <w:p w14:paraId="6685A30B"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0.095</w:t>
            </w:r>
          </w:p>
        </w:tc>
        <w:tc>
          <w:tcPr>
            <w:tcW w:w="1563" w:type="dxa"/>
          </w:tcPr>
          <w:p w14:paraId="2FCCDBA0"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1563" w:type="dxa"/>
            <w:vAlign w:val="bottom"/>
          </w:tcPr>
          <w:p w14:paraId="611261EA"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0.117</w:t>
            </w:r>
          </w:p>
        </w:tc>
        <w:tc>
          <w:tcPr>
            <w:tcW w:w="1563" w:type="dxa"/>
            <w:vAlign w:val="bottom"/>
          </w:tcPr>
          <w:p w14:paraId="19433137"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w:t>
            </w:r>
          </w:p>
        </w:tc>
      </w:tr>
      <w:tr w:rsidR="00EE020B" w:rsidRPr="00090E92" w14:paraId="4FFA5901" w14:textId="77777777" w:rsidTr="00926F04">
        <w:trPr>
          <w:trHeight w:val="300"/>
          <w:jc w:val="center"/>
        </w:trPr>
        <w:tc>
          <w:tcPr>
            <w:tcW w:w="1380" w:type="dxa"/>
            <w:noWrap/>
            <w:hideMark/>
          </w:tcPr>
          <w:p w14:paraId="1042BF97"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2</w:t>
            </w:r>
          </w:p>
        </w:tc>
        <w:tc>
          <w:tcPr>
            <w:tcW w:w="700" w:type="dxa"/>
            <w:noWrap/>
            <w:hideMark/>
          </w:tcPr>
          <w:p w14:paraId="6BBCB42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41594EFC"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20</w:t>
            </w:r>
          </w:p>
        </w:tc>
        <w:tc>
          <w:tcPr>
            <w:tcW w:w="1190" w:type="dxa"/>
            <w:noWrap/>
            <w:hideMark/>
          </w:tcPr>
          <w:p w14:paraId="1A37E035"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0.050</w:t>
            </w:r>
          </w:p>
        </w:tc>
        <w:tc>
          <w:tcPr>
            <w:tcW w:w="1563" w:type="dxa"/>
          </w:tcPr>
          <w:p w14:paraId="6CA10FBE"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1563" w:type="dxa"/>
            <w:vAlign w:val="bottom"/>
          </w:tcPr>
          <w:p w14:paraId="79E5D897"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0.135</w:t>
            </w:r>
          </w:p>
        </w:tc>
        <w:tc>
          <w:tcPr>
            <w:tcW w:w="1723" w:type="dxa"/>
            <w:vAlign w:val="bottom"/>
          </w:tcPr>
          <w:p w14:paraId="01B320B4"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2</w:t>
            </w:r>
          </w:p>
        </w:tc>
      </w:tr>
      <w:tr w:rsidR="00EE020B" w:rsidRPr="00090E92" w14:paraId="7970B098" w14:textId="77777777" w:rsidTr="00926F04">
        <w:trPr>
          <w:trHeight w:val="300"/>
          <w:jc w:val="center"/>
        </w:trPr>
        <w:tc>
          <w:tcPr>
            <w:tcW w:w="1380" w:type="dxa"/>
            <w:noWrap/>
            <w:hideMark/>
          </w:tcPr>
          <w:p w14:paraId="52355D5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3</w:t>
            </w:r>
          </w:p>
        </w:tc>
        <w:tc>
          <w:tcPr>
            <w:tcW w:w="700" w:type="dxa"/>
            <w:noWrap/>
            <w:hideMark/>
          </w:tcPr>
          <w:p w14:paraId="644BE678"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11</w:t>
            </w:r>
          </w:p>
        </w:tc>
        <w:tc>
          <w:tcPr>
            <w:tcW w:w="840" w:type="dxa"/>
            <w:noWrap/>
            <w:hideMark/>
          </w:tcPr>
          <w:p w14:paraId="4ED56515"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78</w:t>
            </w:r>
          </w:p>
        </w:tc>
        <w:tc>
          <w:tcPr>
            <w:tcW w:w="1190" w:type="dxa"/>
            <w:noWrap/>
            <w:hideMark/>
          </w:tcPr>
          <w:p w14:paraId="6B93A826"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0.141</w:t>
            </w:r>
          </w:p>
        </w:tc>
        <w:tc>
          <w:tcPr>
            <w:tcW w:w="1563" w:type="dxa"/>
          </w:tcPr>
          <w:p w14:paraId="1AA6ABA0"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7</w:t>
            </w:r>
          </w:p>
        </w:tc>
        <w:tc>
          <w:tcPr>
            <w:tcW w:w="1563" w:type="dxa"/>
            <w:vAlign w:val="bottom"/>
          </w:tcPr>
          <w:p w14:paraId="0712C94F"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0.155</w:t>
            </w:r>
          </w:p>
        </w:tc>
        <w:tc>
          <w:tcPr>
            <w:tcW w:w="1723" w:type="dxa"/>
            <w:vAlign w:val="bottom"/>
          </w:tcPr>
          <w:p w14:paraId="76C1874E"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3</w:t>
            </w:r>
          </w:p>
        </w:tc>
      </w:tr>
      <w:tr w:rsidR="00EE020B" w:rsidRPr="00090E92" w14:paraId="6CFD319A" w14:textId="77777777" w:rsidTr="00926F04">
        <w:trPr>
          <w:trHeight w:val="300"/>
          <w:jc w:val="center"/>
        </w:trPr>
        <w:tc>
          <w:tcPr>
            <w:tcW w:w="1380" w:type="dxa"/>
            <w:noWrap/>
            <w:hideMark/>
          </w:tcPr>
          <w:p w14:paraId="7333C1C2"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4</w:t>
            </w:r>
          </w:p>
        </w:tc>
        <w:tc>
          <w:tcPr>
            <w:tcW w:w="700" w:type="dxa"/>
            <w:noWrap/>
            <w:hideMark/>
          </w:tcPr>
          <w:p w14:paraId="239D2A23"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5F664187"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10</w:t>
            </w:r>
          </w:p>
        </w:tc>
        <w:tc>
          <w:tcPr>
            <w:tcW w:w="1190" w:type="dxa"/>
            <w:noWrap/>
            <w:hideMark/>
          </w:tcPr>
          <w:p w14:paraId="70ECB673"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0.100</w:t>
            </w:r>
          </w:p>
        </w:tc>
        <w:tc>
          <w:tcPr>
            <w:tcW w:w="1563" w:type="dxa"/>
          </w:tcPr>
          <w:p w14:paraId="442054E2"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4</w:t>
            </w:r>
          </w:p>
        </w:tc>
        <w:tc>
          <w:tcPr>
            <w:tcW w:w="1563" w:type="dxa"/>
            <w:vAlign w:val="bottom"/>
          </w:tcPr>
          <w:p w14:paraId="27654CBA"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0.168</w:t>
            </w:r>
          </w:p>
        </w:tc>
        <w:tc>
          <w:tcPr>
            <w:tcW w:w="1723" w:type="dxa"/>
            <w:vAlign w:val="bottom"/>
          </w:tcPr>
          <w:p w14:paraId="743D4140"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4</w:t>
            </w:r>
          </w:p>
        </w:tc>
      </w:tr>
      <w:tr w:rsidR="00EE020B" w:rsidRPr="00090E92" w14:paraId="0E38F224" w14:textId="77777777" w:rsidTr="00926F04">
        <w:trPr>
          <w:trHeight w:val="300"/>
          <w:jc w:val="center"/>
        </w:trPr>
        <w:tc>
          <w:tcPr>
            <w:tcW w:w="1380" w:type="dxa"/>
            <w:noWrap/>
            <w:hideMark/>
          </w:tcPr>
          <w:p w14:paraId="4864DCCD"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5</w:t>
            </w:r>
          </w:p>
        </w:tc>
        <w:tc>
          <w:tcPr>
            <w:tcW w:w="700" w:type="dxa"/>
            <w:noWrap/>
            <w:hideMark/>
          </w:tcPr>
          <w:p w14:paraId="6077880D"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2</w:t>
            </w:r>
          </w:p>
        </w:tc>
        <w:tc>
          <w:tcPr>
            <w:tcW w:w="840" w:type="dxa"/>
            <w:noWrap/>
            <w:hideMark/>
          </w:tcPr>
          <w:p w14:paraId="64AB43EC"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15</w:t>
            </w:r>
          </w:p>
        </w:tc>
        <w:tc>
          <w:tcPr>
            <w:tcW w:w="1190" w:type="dxa"/>
            <w:noWrap/>
            <w:hideMark/>
          </w:tcPr>
          <w:p w14:paraId="19598F7A"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0.133</w:t>
            </w:r>
          </w:p>
        </w:tc>
        <w:tc>
          <w:tcPr>
            <w:tcW w:w="1563" w:type="dxa"/>
          </w:tcPr>
          <w:p w14:paraId="1BE1ED86"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6</w:t>
            </w:r>
          </w:p>
        </w:tc>
        <w:tc>
          <w:tcPr>
            <w:tcW w:w="1563" w:type="dxa"/>
            <w:vAlign w:val="bottom"/>
          </w:tcPr>
          <w:p w14:paraId="4561FBFB"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0.171</w:t>
            </w:r>
          </w:p>
        </w:tc>
        <w:tc>
          <w:tcPr>
            <w:tcW w:w="1723" w:type="dxa"/>
            <w:vAlign w:val="bottom"/>
          </w:tcPr>
          <w:p w14:paraId="5B0C9EE7"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5</w:t>
            </w:r>
          </w:p>
        </w:tc>
      </w:tr>
      <w:tr w:rsidR="00EE020B" w:rsidRPr="00090E92" w14:paraId="309CE839" w14:textId="77777777" w:rsidTr="00926F04">
        <w:trPr>
          <w:trHeight w:val="300"/>
          <w:jc w:val="center"/>
        </w:trPr>
        <w:tc>
          <w:tcPr>
            <w:tcW w:w="1380" w:type="dxa"/>
            <w:noWrap/>
            <w:hideMark/>
          </w:tcPr>
          <w:p w14:paraId="39AE09F9"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6</w:t>
            </w:r>
          </w:p>
        </w:tc>
        <w:tc>
          <w:tcPr>
            <w:tcW w:w="700" w:type="dxa"/>
            <w:noWrap/>
            <w:hideMark/>
          </w:tcPr>
          <w:p w14:paraId="64C16674"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6A84578A"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4</w:t>
            </w:r>
          </w:p>
        </w:tc>
        <w:tc>
          <w:tcPr>
            <w:tcW w:w="1190" w:type="dxa"/>
            <w:noWrap/>
            <w:hideMark/>
          </w:tcPr>
          <w:p w14:paraId="721F3C72"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0.250</w:t>
            </w:r>
          </w:p>
        </w:tc>
        <w:tc>
          <w:tcPr>
            <w:tcW w:w="1563" w:type="dxa"/>
          </w:tcPr>
          <w:p w14:paraId="335ED029"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11</w:t>
            </w:r>
          </w:p>
        </w:tc>
        <w:tc>
          <w:tcPr>
            <w:tcW w:w="1563" w:type="dxa"/>
            <w:vAlign w:val="bottom"/>
          </w:tcPr>
          <w:p w14:paraId="57647A5A"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0.196</w:t>
            </w:r>
          </w:p>
        </w:tc>
        <w:tc>
          <w:tcPr>
            <w:tcW w:w="1723" w:type="dxa"/>
            <w:vAlign w:val="bottom"/>
          </w:tcPr>
          <w:p w14:paraId="44B6B725"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10</w:t>
            </w:r>
          </w:p>
        </w:tc>
      </w:tr>
      <w:tr w:rsidR="00EE020B" w:rsidRPr="00090E92" w14:paraId="28BC087B" w14:textId="77777777" w:rsidTr="00926F04">
        <w:trPr>
          <w:trHeight w:val="300"/>
          <w:jc w:val="center"/>
        </w:trPr>
        <w:tc>
          <w:tcPr>
            <w:tcW w:w="1380" w:type="dxa"/>
            <w:noWrap/>
            <w:hideMark/>
          </w:tcPr>
          <w:p w14:paraId="0E85AE1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7</w:t>
            </w:r>
          </w:p>
        </w:tc>
        <w:tc>
          <w:tcPr>
            <w:tcW w:w="700" w:type="dxa"/>
            <w:noWrap/>
            <w:hideMark/>
          </w:tcPr>
          <w:p w14:paraId="3975A5D1"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18</w:t>
            </w:r>
          </w:p>
        </w:tc>
        <w:tc>
          <w:tcPr>
            <w:tcW w:w="840" w:type="dxa"/>
            <w:noWrap/>
            <w:hideMark/>
          </w:tcPr>
          <w:p w14:paraId="7167127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74</w:t>
            </w:r>
          </w:p>
        </w:tc>
        <w:tc>
          <w:tcPr>
            <w:tcW w:w="1190" w:type="dxa"/>
            <w:noWrap/>
            <w:hideMark/>
          </w:tcPr>
          <w:p w14:paraId="1A3D8E98"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0.243</w:t>
            </w:r>
          </w:p>
        </w:tc>
        <w:tc>
          <w:tcPr>
            <w:tcW w:w="1563" w:type="dxa"/>
          </w:tcPr>
          <w:p w14:paraId="46942BD2"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10</w:t>
            </w:r>
          </w:p>
        </w:tc>
        <w:tc>
          <w:tcPr>
            <w:tcW w:w="1563" w:type="dxa"/>
            <w:vAlign w:val="bottom"/>
          </w:tcPr>
          <w:p w14:paraId="3D61DF85"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0.227</w:t>
            </w:r>
          </w:p>
        </w:tc>
        <w:tc>
          <w:tcPr>
            <w:tcW w:w="1723" w:type="dxa"/>
            <w:vAlign w:val="bottom"/>
          </w:tcPr>
          <w:p w14:paraId="6EC8CF0D"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13</w:t>
            </w:r>
          </w:p>
        </w:tc>
      </w:tr>
      <w:tr w:rsidR="00EE020B" w:rsidRPr="00090E92" w14:paraId="5E4629C6" w14:textId="77777777" w:rsidTr="00926F04">
        <w:trPr>
          <w:trHeight w:val="300"/>
          <w:jc w:val="center"/>
        </w:trPr>
        <w:tc>
          <w:tcPr>
            <w:tcW w:w="1380" w:type="dxa"/>
            <w:noWrap/>
            <w:hideMark/>
          </w:tcPr>
          <w:p w14:paraId="509E19BE"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8</w:t>
            </w:r>
          </w:p>
        </w:tc>
        <w:tc>
          <w:tcPr>
            <w:tcW w:w="700" w:type="dxa"/>
            <w:noWrap/>
            <w:hideMark/>
          </w:tcPr>
          <w:p w14:paraId="5C4E7DAA"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w:t>
            </w:r>
          </w:p>
        </w:tc>
        <w:tc>
          <w:tcPr>
            <w:tcW w:w="840" w:type="dxa"/>
            <w:noWrap/>
            <w:hideMark/>
          </w:tcPr>
          <w:p w14:paraId="4A37D553"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1190" w:type="dxa"/>
            <w:noWrap/>
            <w:hideMark/>
          </w:tcPr>
          <w:p w14:paraId="5AFFA093"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0.000</w:t>
            </w:r>
          </w:p>
        </w:tc>
        <w:tc>
          <w:tcPr>
            <w:tcW w:w="1563" w:type="dxa"/>
          </w:tcPr>
          <w:p w14:paraId="1BC015ED"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w:t>
            </w:r>
          </w:p>
        </w:tc>
        <w:tc>
          <w:tcPr>
            <w:tcW w:w="1563" w:type="dxa"/>
            <w:vAlign w:val="bottom"/>
          </w:tcPr>
          <w:p w14:paraId="3315D581"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0.184</w:t>
            </w:r>
          </w:p>
        </w:tc>
        <w:tc>
          <w:tcPr>
            <w:tcW w:w="1723" w:type="dxa"/>
            <w:vAlign w:val="bottom"/>
          </w:tcPr>
          <w:p w14:paraId="67AC7660"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7</w:t>
            </w:r>
          </w:p>
        </w:tc>
      </w:tr>
      <w:tr w:rsidR="00EE020B" w:rsidRPr="00090E92" w14:paraId="723B66E0" w14:textId="77777777" w:rsidTr="00926F04">
        <w:trPr>
          <w:trHeight w:val="300"/>
          <w:jc w:val="center"/>
        </w:trPr>
        <w:tc>
          <w:tcPr>
            <w:tcW w:w="1380" w:type="dxa"/>
            <w:noWrap/>
            <w:hideMark/>
          </w:tcPr>
          <w:p w14:paraId="44BD7628"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9</w:t>
            </w:r>
          </w:p>
        </w:tc>
        <w:tc>
          <w:tcPr>
            <w:tcW w:w="700" w:type="dxa"/>
            <w:noWrap/>
            <w:hideMark/>
          </w:tcPr>
          <w:p w14:paraId="336AC595"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222AB1E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8</w:t>
            </w:r>
          </w:p>
        </w:tc>
        <w:tc>
          <w:tcPr>
            <w:tcW w:w="1190" w:type="dxa"/>
            <w:noWrap/>
            <w:hideMark/>
          </w:tcPr>
          <w:p w14:paraId="5AF8D844"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0.125</w:t>
            </w:r>
          </w:p>
        </w:tc>
        <w:tc>
          <w:tcPr>
            <w:tcW w:w="1563" w:type="dxa"/>
          </w:tcPr>
          <w:p w14:paraId="178D9C9F"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5</w:t>
            </w:r>
          </w:p>
        </w:tc>
        <w:tc>
          <w:tcPr>
            <w:tcW w:w="1563" w:type="dxa"/>
            <w:vAlign w:val="bottom"/>
          </w:tcPr>
          <w:p w14:paraId="2EBE332A"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0.176</w:t>
            </w:r>
          </w:p>
        </w:tc>
        <w:tc>
          <w:tcPr>
            <w:tcW w:w="1723" w:type="dxa"/>
            <w:vAlign w:val="bottom"/>
          </w:tcPr>
          <w:p w14:paraId="51BD9CF6"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6</w:t>
            </w:r>
          </w:p>
        </w:tc>
      </w:tr>
      <w:tr w:rsidR="00EE020B" w:rsidRPr="00090E92" w14:paraId="251229C0" w14:textId="77777777" w:rsidTr="00926F04">
        <w:trPr>
          <w:trHeight w:val="300"/>
          <w:jc w:val="center"/>
        </w:trPr>
        <w:tc>
          <w:tcPr>
            <w:tcW w:w="1380" w:type="dxa"/>
            <w:noWrap/>
            <w:hideMark/>
          </w:tcPr>
          <w:p w14:paraId="6BE69396"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10</w:t>
            </w:r>
          </w:p>
        </w:tc>
        <w:tc>
          <w:tcPr>
            <w:tcW w:w="700" w:type="dxa"/>
            <w:noWrap/>
            <w:hideMark/>
          </w:tcPr>
          <w:p w14:paraId="07B8D735"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3</w:t>
            </w:r>
          </w:p>
        </w:tc>
        <w:tc>
          <w:tcPr>
            <w:tcW w:w="840" w:type="dxa"/>
            <w:noWrap/>
            <w:hideMark/>
          </w:tcPr>
          <w:p w14:paraId="5924CD84"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16</w:t>
            </w:r>
          </w:p>
        </w:tc>
        <w:tc>
          <w:tcPr>
            <w:tcW w:w="1190" w:type="dxa"/>
            <w:noWrap/>
            <w:hideMark/>
          </w:tcPr>
          <w:p w14:paraId="73ED22CE"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0.188</w:t>
            </w:r>
          </w:p>
        </w:tc>
        <w:tc>
          <w:tcPr>
            <w:tcW w:w="1563" w:type="dxa"/>
          </w:tcPr>
          <w:p w14:paraId="6B5D4194"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8</w:t>
            </w:r>
          </w:p>
        </w:tc>
        <w:tc>
          <w:tcPr>
            <w:tcW w:w="1563" w:type="dxa"/>
            <w:vAlign w:val="bottom"/>
          </w:tcPr>
          <w:p w14:paraId="73A9B7A2"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0.189</w:t>
            </w:r>
          </w:p>
        </w:tc>
        <w:tc>
          <w:tcPr>
            <w:tcW w:w="1723" w:type="dxa"/>
            <w:vAlign w:val="bottom"/>
          </w:tcPr>
          <w:p w14:paraId="50F6BF35"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8</w:t>
            </w:r>
          </w:p>
        </w:tc>
      </w:tr>
      <w:tr w:rsidR="00EE020B" w:rsidRPr="00090E92" w14:paraId="7EA9F13E" w14:textId="77777777" w:rsidTr="00926F04">
        <w:trPr>
          <w:trHeight w:val="300"/>
          <w:jc w:val="center"/>
        </w:trPr>
        <w:tc>
          <w:tcPr>
            <w:tcW w:w="1380" w:type="dxa"/>
            <w:noWrap/>
            <w:hideMark/>
          </w:tcPr>
          <w:p w14:paraId="44D867E4"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11</w:t>
            </w:r>
          </w:p>
        </w:tc>
        <w:tc>
          <w:tcPr>
            <w:tcW w:w="700" w:type="dxa"/>
            <w:noWrap/>
            <w:hideMark/>
          </w:tcPr>
          <w:p w14:paraId="3D16780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2208B650"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5</w:t>
            </w:r>
          </w:p>
        </w:tc>
        <w:tc>
          <w:tcPr>
            <w:tcW w:w="1190" w:type="dxa"/>
            <w:noWrap/>
            <w:hideMark/>
          </w:tcPr>
          <w:p w14:paraId="4346CCE4"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0.200</w:t>
            </w:r>
          </w:p>
        </w:tc>
        <w:tc>
          <w:tcPr>
            <w:tcW w:w="1563" w:type="dxa"/>
          </w:tcPr>
          <w:p w14:paraId="0E2F18A7"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9</w:t>
            </w:r>
          </w:p>
        </w:tc>
        <w:tc>
          <w:tcPr>
            <w:tcW w:w="1563" w:type="dxa"/>
            <w:vAlign w:val="bottom"/>
          </w:tcPr>
          <w:p w14:paraId="3FD17FA2"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0.191</w:t>
            </w:r>
          </w:p>
        </w:tc>
        <w:tc>
          <w:tcPr>
            <w:tcW w:w="1723" w:type="dxa"/>
            <w:vAlign w:val="bottom"/>
          </w:tcPr>
          <w:p w14:paraId="631A2FD5"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9</w:t>
            </w:r>
          </w:p>
        </w:tc>
      </w:tr>
      <w:tr w:rsidR="00EE020B" w:rsidRPr="00090E92" w14:paraId="2F3B5ECE" w14:textId="77777777" w:rsidTr="00926F04">
        <w:trPr>
          <w:trHeight w:val="300"/>
          <w:jc w:val="center"/>
        </w:trPr>
        <w:tc>
          <w:tcPr>
            <w:tcW w:w="1380" w:type="dxa"/>
            <w:noWrap/>
            <w:hideMark/>
          </w:tcPr>
          <w:p w14:paraId="5898C2D2"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12</w:t>
            </w:r>
          </w:p>
        </w:tc>
        <w:tc>
          <w:tcPr>
            <w:tcW w:w="700" w:type="dxa"/>
            <w:noWrap/>
            <w:hideMark/>
          </w:tcPr>
          <w:p w14:paraId="7776D052"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2422D86B"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3</w:t>
            </w:r>
          </w:p>
        </w:tc>
        <w:tc>
          <w:tcPr>
            <w:tcW w:w="1190" w:type="dxa"/>
            <w:noWrap/>
            <w:hideMark/>
          </w:tcPr>
          <w:p w14:paraId="67D559C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0.333</w:t>
            </w:r>
          </w:p>
        </w:tc>
        <w:tc>
          <w:tcPr>
            <w:tcW w:w="1563" w:type="dxa"/>
          </w:tcPr>
          <w:p w14:paraId="7EE34B56"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13</w:t>
            </w:r>
          </w:p>
        </w:tc>
        <w:tc>
          <w:tcPr>
            <w:tcW w:w="1563" w:type="dxa"/>
            <w:vAlign w:val="bottom"/>
          </w:tcPr>
          <w:p w14:paraId="70CE2D15"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0.202</w:t>
            </w:r>
          </w:p>
        </w:tc>
        <w:tc>
          <w:tcPr>
            <w:tcW w:w="1723" w:type="dxa"/>
            <w:vAlign w:val="bottom"/>
          </w:tcPr>
          <w:p w14:paraId="30A46ECC"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11</w:t>
            </w:r>
          </w:p>
        </w:tc>
      </w:tr>
      <w:tr w:rsidR="00EE020B" w:rsidRPr="00090E92" w14:paraId="22143543" w14:textId="77777777" w:rsidTr="00926F04">
        <w:trPr>
          <w:trHeight w:val="300"/>
          <w:jc w:val="center"/>
        </w:trPr>
        <w:tc>
          <w:tcPr>
            <w:tcW w:w="1380" w:type="dxa"/>
            <w:noWrap/>
            <w:hideMark/>
          </w:tcPr>
          <w:p w14:paraId="13B0BE62"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13</w:t>
            </w:r>
          </w:p>
        </w:tc>
        <w:tc>
          <w:tcPr>
            <w:tcW w:w="700" w:type="dxa"/>
            <w:noWrap/>
            <w:hideMark/>
          </w:tcPr>
          <w:p w14:paraId="7E847C41"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2</w:t>
            </w:r>
          </w:p>
        </w:tc>
        <w:tc>
          <w:tcPr>
            <w:tcW w:w="840" w:type="dxa"/>
            <w:noWrap/>
            <w:hideMark/>
          </w:tcPr>
          <w:p w14:paraId="3B9FD4D5"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3</w:t>
            </w:r>
          </w:p>
        </w:tc>
        <w:tc>
          <w:tcPr>
            <w:tcW w:w="1190" w:type="dxa"/>
            <w:noWrap/>
            <w:hideMark/>
          </w:tcPr>
          <w:p w14:paraId="7DB4B5BC"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0.667</w:t>
            </w:r>
          </w:p>
        </w:tc>
        <w:tc>
          <w:tcPr>
            <w:tcW w:w="1563" w:type="dxa"/>
          </w:tcPr>
          <w:p w14:paraId="18ACDCA5"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14</w:t>
            </w:r>
          </w:p>
        </w:tc>
        <w:tc>
          <w:tcPr>
            <w:tcW w:w="1563" w:type="dxa"/>
            <w:vAlign w:val="bottom"/>
          </w:tcPr>
          <w:p w14:paraId="3A99566C"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0.231</w:t>
            </w:r>
          </w:p>
        </w:tc>
        <w:tc>
          <w:tcPr>
            <w:tcW w:w="1723" w:type="dxa"/>
            <w:vAlign w:val="bottom"/>
          </w:tcPr>
          <w:p w14:paraId="279534B8"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14</w:t>
            </w:r>
          </w:p>
        </w:tc>
      </w:tr>
      <w:tr w:rsidR="00EE020B" w:rsidRPr="00090E92" w14:paraId="20984D47" w14:textId="77777777" w:rsidTr="00926F04">
        <w:trPr>
          <w:trHeight w:val="300"/>
          <w:jc w:val="center"/>
        </w:trPr>
        <w:tc>
          <w:tcPr>
            <w:tcW w:w="1380" w:type="dxa"/>
            <w:noWrap/>
            <w:hideMark/>
          </w:tcPr>
          <w:p w14:paraId="7C4C0A93"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14</w:t>
            </w:r>
          </w:p>
        </w:tc>
        <w:tc>
          <w:tcPr>
            <w:tcW w:w="700" w:type="dxa"/>
            <w:noWrap/>
            <w:hideMark/>
          </w:tcPr>
          <w:p w14:paraId="0C3EB54C"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26</w:t>
            </w:r>
          </w:p>
        </w:tc>
        <w:tc>
          <w:tcPr>
            <w:tcW w:w="840" w:type="dxa"/>
            <w:noWrap/>
            <w:hideMark/>
          </w:tcPr>
          <w:p w14:paraId="5CBDDCE1"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81</w:t>
            </w:r>
          </w:p>
        </w:tc>
        <w:tc>
          <w:tcPr>
            <w:tcW w:w="1190" w:type="dxa"/>
            <w:noWrap/>
            <w:hideMark/>
          </w:tcPr>
          <w:p w14:paraId="7ACF8D62"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0.321</w:t>
            </w:r>
          </w:p>
        </w:tc>
        <w:tc>
          <w:tcPr>
            <w:tcW w:w="1563" w:type="dxa"/>
          </w:tcPr>
          <w:p w14:paraId="076FED27"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12</w:t>
            </w:r>
          </w:p>
        </w:tc>
        <w:tc>
          <w:tcPr>
            <w:tcW w:w="1563" w:type="dxa"/>
            <w:vAlign w:val="bottom"/>
          </w:tcPr>
          <w:p w14:paraId="6BE9B114"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0.284</w:t>
            </w:r>
          </w:p>
        </w:tc>
        <w:tc>
          <w:tcPr>
            <w:tcW w:w="1723" w:type="dxa"/>
            <w:vAlign w:val="bottom"/>
          </w:tcPr>
          <w:p w14:paraId="7F3B4A24"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15</w:t>
            </w:r>
          </w:p>
        </w:tc>
      </w:tr>
      <w:tr w:rsidR="00EE020B" w:rsidRPr="00090E92" w14:paraId="5213D574" w14:textId="77777777" w:rsidTr="00926F04">
        <w:trPr>
          <w:trHeight w:val="315"/>
          <w:jc w:val="center"/>
        </w:trPr>
        <w:tc>
          <w:tcPr>
            <w:tcW w:w="1380" w:type="dxa"/>
            <w:noWrap/>
            <w:hideMark/>
          </w:tcPr>
          <w:p w14:paraId="0DD95C8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lastRenderedPageBreak/>
              <w:t>15</w:t>
            </w:r>
          </w:p>
        </w:tc>
        <w:tc>
          <w:tcPr>
            <w:tcW w:w="700" w:type="dxa"/>
            <w:noWrap/>
            <w:hideMark/>
          </w:tcPr>
          <w:p w14:paraId="66C0A387"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840" w:type="dxa"/>
            <w:noWrap/>
            <w:hideMark/>
          </w:tcPr>
          <w:p w14:paraId="074E5A1F"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w:t>
            </w:r>
          </w:p>
        </w:tc>
        <w:tc>
          <w:tcPr>
            <w:tcW w:w="1190" w:type="dxa"/>
            <w:noWrap/>
            <w:hideMark/>
          </w:tcPr>
          <w:p w14:paraId="63E41633" w14:textId="77777777" w:rsidR="00EE020B" w:rsidRPr="00090E92" w:rsidRDefault="00EE020B" w:rsidP="00926F04">
            <w:pPr>
              <w:spacing w:line="360" w:lineRule="auto"/>
              <w:jc w:val="both"/>
              <w:rPr>
                <w:rFonts w:asciiTheme="majorBidi" w:eastAsiaTheme="minorEastAsia" w:hAnsiTheme="majorBidi" w:cstheme="majorBidi"/>
                <w:sz w:val="24"/>
                <w:szCs w:val="24"/>
              </w:rPr>
            </w:pPr>
            <w:r w:rsidRPr="00090E92">
              <w:rPr>
                <w:rFonts w:asciiTheme="majorBidi" w:eastAsiaTheme="minorEastAsia" w:hAnsiTheme="majorBidi" w:cstheme="majorBidi"/>
                <w:sz w:val="24"/>
                <w:szCs w:val="24"/>
              </w:rPr>
              <w:t>1.000</w:t>
            </w:r>
          </w:p>
        </w:tc>
        <w:tc>
          <w:tcPr>
            <w:tcW w:w="1563" w:type="dxa"/>
          </w:tcPr>
          <w:p w14:paraId="4034928C"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15</w:t>
            </w:r>
          </w:p>
        </w:tc>
        <w:tc>
          <w:tcPr>
            <w:tcW w:w="1563" w:type="dxa"/>
            <w:vAlign w:val="bottom"/>
          </w:tcPr>
          <w:p w14:paraId="3BE6CD8A"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0.214</w:t>
            </w:r>
          </w:p>
        </w:tc>
        <w:tc>
          <w:tcPr>
            <w:tcW w:w="1723" w:type="dxa"/>
            <w:vAlign w:val="bottom"/>
          </w:tcPr>
          <w:p w14:paraId="20680851" w14:textId="77777777" w:rsidR="00EE020B" w:rsidRPr="00AC15C8" w:rsidRDefault="00EE020B" w:rsidP="00926F04">
            <w:pPr>
              <w:jc w:val="right"/>
              <w:rPr>
                <w:rFonts w:asciiTheme="majorBidi" w:eastAsiaTheme="minorEastAsia" w:hAnsiTheme="majorBidi" w:cstheme="majorBidi"/>
                <w:sz w:val="24"/>
                <w:szCs w:val="24"/>
              </w:rPr>
            </w:pPr>
            <w:r w:rsidRPr="00AC15C8">
              <w:rPr>
                <w:rFonts w:asciiTheme="majorBidi" w:eastAsiaTheme="minorEastAsia" w:hAnsiTheme="majorBidi" w:cstheme="majorBidi"/>
                <w:sz w:val="24"/>
                <w:szCs w:val="24"/>
              </w:rPr>
              <w:t>12</w:t>
            </w:r>
          </w:p>
        </w:tc>
      </w:tr>
      <w:tr w:rsidR="00EE020B" w:rsidRPr="00090E92" w14:paraId="3BFF146C" w14:textId="77777777" w:rsidTr="00926F04">
        <w:trPr>
          <w:trHeight w:val="315"/>
          <w:jc w:val="center"/>
        </w:trPr>
        <w:tc>
          <w:tcPr>
            <w:tcW w:w="1380" w:type="dxa"/>
            <w:noWrap/>
          </w:tcPr>
          <w:p w14:paraId="5DF0AEA9"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Total</w:t>
            </w:r>
          </w:p>
        </w:tc>
        <w:tc>
          <w:tcPr>
            <w:tcW w:w="700" w:type="dxa"/>
            <w:noWrap/>
          </w:tcPr>
          <w:p w14:paraId="75697C55"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79</w:t>
            </w:r>
          </w:p>
        </w:tc>
        <w:tc>
          <w:tcPr>
            <w:tcW w:w="840" w:type="dxa"/>
            <w:noWrap/>
          </w:tcPr>
          <w:p w14:paraId="6AD3BB24" w14:textId="77777777" w:rsidR="00EE020B" w:rsidRPr="00090E92" w:rsidRDefault="00EE020B" w:rsidP="00926F04">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424</w:t>
            </w:r>
          </w:p>
        </w:tc>
        <w:tc>
          <w:tcPr>
            <w:tcW w:w="1190" w:type="dxa"/>
            <w:noWrap/>
          </w:tcPr>
          <w:p w14:paraId="57BF546E" w14:textId="77777777" w:rsidR="00EE020B" w:rsidRPr="00090E92" w:rsidRDefault="00EE020B" w:rsidP="00926F04">
            <w:pPr>
              <w:spacing w:line="360" w:lineRule="auto"/>
              <w:jc w:val="both"/>
              <w:rPr>
                <w:rFonts w:asciiTheme="majorBidi" w:eastAsiaTheme="minorEastAsia" w:hAnsiTheme="majorBidi" w:cstheme="majorBidi"/>
                <w:sz w:val="24"/>
                <w:szCs w:val="24"/>
              </w:rPr>
            </w:pPr>
          </w:p>
        </w:tc>
        <w:tc>
          <w:tcPr>
            <w:tcW w:w="1563" w:type="dxa"/>
          </w:tcPr>
          <w:p w14:paraId="6216DFA5" w14:textId="77777777" w:rsidR="00EE020B" w:rsidRPr="00090E92" w:rsidRDefault="00EE020B" w:rsidP="00926F04">
            <w:pPr>
              <w:spacing w:line="360" w:lineRule="auto"/>
              <w:jc w:val="both"/>
              <w:rPr>
                <w:rFonts w:asciiTheme="majorBidi" w:eastAsiaTheme="minorEastAsia" w:hAnsiTheme="majorBidi" w:cstheme="majorBidi"/>
                <w:sz w:val="24"/>
                <w:szCs w:val="24"/>
              </w:rPr>
            </w:pPr>
          </w:p>
        </w:tc>
        <w:tc>
          <w:tcPr>
            <w:tcW w:w="1563" w:type="dxa"/>
          </w:tcPr>
          <w:p w14:paraId="228E950F" w14:textId="77777777" w:rsidR="00EE020B" w:rsidRPr="00090E92" w:rsidRDefault="00EE020B" w:rsidP="00926F04">
            <w:pPr>
              <w:spacing w:line="360" w:lineRule="auto"/>
              <w:jc w:val="both"/>
              <w:rPr>
                <w:rFonts w:asciiTheme="majorBidi" w:eastAsiaTheme="minorEastAsia" w:hAnsiTheme="majorBidi" w:cstheme="majorBidi"/>
                <w:sz w:val="24"/>
                <w:szCs w:val="24"/>
              </w:rPr>
            </w:pPr>
          </w:p>
        </w:tc>
        <w:tc>
          <w:tcPr>
            <w:tcW w:w="1723" w:type="dxa"/>
          </w:tcPr>
          <w:p w14:paraId="52F92B4D" w14:textId="77777777" w:rsidR="00EE020B" w:rsidRPr="00090E92" w:rsidRDefault="00EE020B" w:rsidP="00926F04">
            <w:pPr>
              <w:spacing w:line="360" w:lineRule="auto"/>
              <w:jc w:val="both"/>
              <w:rPr>
                <w:rFonts w:asciiTheme="majorBidi" w:eastAsiaTheme="minorEastAsia" w:hAnsiTheme="majorBidi" w:cstheme="majorBidi"/>
                <w:sz w:val="24"/>
                <w:szCs w:val="24"/>
              </w:rPr>
            </w:pPr>
          </w:p>
        </w:tc>
      </w:tr>
    </w:tbl>
    <w:p w14:paraId="43BF38D8" w14:textId="77777777" w:rsidR="00EE020B" w:rsidRDefault="00EE020B" w:rsidP="00EE020B">
      <w:pPr>
        <w:spacing w:line="360" w:lineRule="auto"/>
        <w:jc w:val="both"/>
        <w:rPr>
          <w:rFonts w:asciiTheme="majorBidi" w:eastAsiaTheme="minorEastAsia" w:hAnsiTheme="majorBidi" w:cstheme="majorBidi"/>
          <w:sz w:val="24"/>
          <w:szCs w:val="24"/>
        </w:rPr>
      </w:pPr>
    </w:p>
    <w:p w14:paraId="19F4867F" w14:textId="2C9EAE71" w:rsidR="00EE020B" w:rsidRDefault="00EE020B" w:rsidP="00B945E0">
      <w:pPr>
        <w:spacing w:line="360" w:lineRule="auto"/>
        <w:jc w:val="both"/>
        <w:rPr>
          <w:rFonts w:ascii="Cambria Math" w:eastAsiaTheme="minorEastAsia" w:hAnsi="Cambria Math" w:cstheme="majorBidi"/>
          <w:sz w:val="24"/>
          <w:szCs w:val="24"/>
        </w:rPr>
      </w:pPr>
      <w:r>
        <w:rPr>
          <w:rFonts w:asciiTheme="majorBidi" w:eastAsiaTheme="minorEastAsia" w:hAnsiTheme="majorBidi" w:cstheme="majorBidi"/>
          <w:sz w:val="24"/>
          <w:szCs w:val="24"/>
        </w:rPr>
        <w:t xml:space="preserve">We can also use excel to calculate the Bayesian credibility interval for the posterior alcohol prevalence in each district. The posterior distribution in each district follows a beta distribution with parameters </w:t>
      </w:r>
      <w:r>
        <w:rPr>
          <w:rFonts w:ascii="Cambria Math" w:eastAsiaTheme="minorEastAsia" w:hAnsi="Cambria Math" w:cstheme="majorBidi"/>
          <w:sz w:val="24"/>
          <w:szCs w:val="24"/>
        </w:rPr>
        <w:t>𝜶+x</w:t>
      </w:r>
      <w:r>
        <w:rPr>
          <w:rFonts w:asciiTheme="majorBidi" w:eastAsiaTheme="minorEastAsia" w:hAnsiTheme="majorBidi" w:cstheme="majorBidi"/>
          <w:sz w:val="24"/>
          <w:szCs w:val="24"/>
        </w:rPr>
        <w:t xml:space="preserve"> and </w:t>
      </w:r>
      <w:r>
        <w:rPr>
          <w:rFonts w:ascii="Cambria Math" w:eastAsiaTheme="minorEastAsia" w:hAnsi="Cambria Math" w:cstheme="majorBidi"/>
          <w:sz w:val="24"/>
          <w:szCs w:val="24"/>
        </w:rPr>
        <w:t>𝜷+n-x. For example, for district 1, parameters of the posterior distribution are 𝜶 =15.99 and 𝜷 =136.64. And so, the posterior estimate for district 1 will be 1</w:t>
      </w:r>
      <w:r w:rsidR="00B945E0">
        <w:rPr>
          <w:rFonts w:ascii="Cambria Math" w:eastAsiaTheme="minorEastAsia" w:hAnsi="Cambria Math" w:cstheme="majorBidi"/>
          <w:sz w:val="24"/>
          <w:szCs w:val="24"/>
        </w:rPr>
        <w:t>2</w:t>
      </w:r>
      <w:r>
        <w:rPr>
          <w:rFonts w:ascii="Cambria Math" w:eastAsiaTheme="minorEastAsia" w:hAnsi="Cambria Math" w:cstheme="majorBidi"/>
          <w:sz w:val="24"/>
          <w:szCs w:val="24"/>
        </w:rPr>
        <w:t>% (95% credibility interval: 6%, 15%). Figure 4.3 shows how to use Excel to generate random numbers from a beta distribution, and how to calculate the percentiles 2.5 and 97.5.</w:t>
      </w:r>
    </w:p>
    <w:p w14:paraId="54D86950" w14:textId="77777777" w:rsidR="00EE020B" w:rsidRDefault="00EE020B" w:rsidP="00EE020B">
      <w:pPr>
        <w:keepNext/>
        <w:jc w:val="center"/>
      </w:pPr>
      <w:r w:rsidRPr="0026010B">
        <w:rPr>
          <w:rFonts w:asciiTheme="majorBidi" w:eastAsiaTheme="minorEastAsia" w:hAnsiTheme="majorBidi" w:cstheme="majorBidi"/>
          <w:noProof/>
          <w:sz w:val="24"/>
          <w:szCs w:val="24"/>
          <w:lang w:val="en-AU" w:eastAsia="en-AU"/>
        </w:rPr>
        <w:drawing>
          <wp:inline distT="0" distB="0" distL="0" distR="0" wp14:anchorId="74AF21E2" wp14:editId="7DB3CD37">
            <wp:extent cx="4393294" cy="30053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8970" cy="3009253"/>
                    </a:xfrm>
                    <a:prstGeom prst="rect">
                      <a:avLst/>
                    </a:prstGeom>
                  </pic:spPr>
                </pic:pic>
              </a:graphicData>
            </a:graphic>
          </wp:inline>
        </w:drawing>
      </w:r>
    </w:p>
    <w:p w14:paraId="0D4CFE3A" w14:textId="77777777" w:rsidR="00EE020B" w:rsidRPr="00ED02B3" w:rsidRDefault="00EE020B" w:rsidP="00EE020B">
      <w:pPr>
        <w:pStyle w:val="Caption"/>
        <w:jc w:val="center"/>
        <w:rPr>
          <w:b/>
          <w:bCs/>
          <w:i w:val="0"/>
          <w:iCs w:val="0"/>
          <w:color w:val="000000" w:themeColor="text1"/>
        </w:rPr>
      </w:pPr>
      <w:r w:rsidRPr="00ED02B3">
        <w:rPr>
          <w:b/>
          <w:bCs/>
          <w:i w:val="0"/>
          <w:iCs w:val="0"/>
          <w:color w:val="000000" w:themeColor="text1"/>
        </w:rPr>
        <w:t>Figure 4.3: generate 1000 random values from a beta distribution (</w:t>
      </w:r>
      <w:r w:rsidRPr="00ED02B3">
        <w:rPr>
          <w:rFonts w:ascii="Cambria Math" w:hAnsi="Cambria Math" w:cs="Cambria Math"/>
          <w:b/>
          <w:bCs/>
          <w:i w:val="0"/>
          <w:iCs w:val="0"/>
          <w:color w:val="000000" w:themeColor="text1"/>
        </w:rPr>
        <w:t>𝜶</w:t>
      </w:r>
      <w:r w:rsidRPr="00ED02B3">
        <w:rPr>
          <w:b/>
          <w:bCs/>
          <w:i w:val="0"/>
          <w:iCs w:val="0"/>
          <w:color w:val="000000" w:themeColor="text1"/>
        </w:rPr>
        <w:t xml:space="preserve"> =15.99 and </w:t>
      </w:r>
      <w:r w:rsidRPr="00ED02B3">
        <w:rPr>
          <w:rFonts w:ascii="Cambria Math" w:hAnsi="Cambria Math" w:cs="Cambria Math"/>
          <w:b/>
          <w:bCs/>
          <w:i w:val="0"/>
          <w:iCs w:val="0"/>
          <w:color w:val="000000" w:themeColor="text1"/>
        </w:rPr>
        <w:t>𝜷</w:t>
      </w:r>
      <w:r w:rsidRPr="00ED02B3">
        <w:rPr>
          <w:b/>
          <w:bCs/>
          <w:i w:val="0"/>
          <w:iCs w:val="0"/>
          <w:color w:val="000000" w:themeColor="text1"/>
        </w:rPr>
        <w:t xml:space="preserve"> =136.64) and calculated the 2.5 and 97.5 percentile</w:t>
      </w:r>
    </w:p>
    <w:p w14:paraId="5DC1BA94" w14:textId="77777777" w:rsidR="00EE020B" w:rsidRDefault="00EE020B" w:rsidP="00EE020B">
      <w:pPr>
        <w:jc w:val="center"/>
        <w:rPr>
          <w:rFonts w:asciiTheme="majorBidi" w:eastAsiaTheme="minorEastAsia" w:hAnsiTheme="majorBidi" w:cstheme="majorBidi"/>
          <w:sz w:val="24"/>
          <w:szCs w:val="24"/>
        </w:rPr>
      </w:pPr>
    </w:p>
    <w:p w14:paraId="6C1FB2DA" w14:textId="77777777" w:rsidR="00EE020B" w:rsidRDefault="00EE020B" w:rsidP="00EE020B">
      <w:pPr>
        <w:rPr>
          <w:rFonts w:asciiTheme="majorBidi" w:eastAsiaTheme="minorEastAsia" w:hAnsiTheme="majorBidi" w:cstheme="majorBidi"/>
          <w:sz w:val="24"/>
          <w:szCs w:val="24"/>
        </w:rPr>
      </w:pPr>
      <w:r>
        <w:rPr>
          <w:rFonts w:asciiTheme="majorBidi" w:eastAsiaTheme="minorEastAsia" w:hAnsiTheme="majorBidi" w:cstheme="majorBidi"/>
          <w:sz w:val="24"/>
          <w:szCs w:val="24"/>
        </w:rPr>
        <w:t>As shown in the above example, empirical Bayesian smoothing determines the posterior prevalence by a weighted combination of the local and prior prevalence. The weights are based on the sample size. When the sample size is large, it is given a large weight, and the posterior estimate leans toward the prior (data).</w:t>
      </w:r>
    </w:p>
    <w:p w14:paraId="171D5567" w14:textId="77777777" w:rsidR="00EE020B" w:rsidRDefault="00EE020B" w:rsidP="00EE020B">
      <w:pPr>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5B61FBCD" w14:textId="77777777" w:rsidR="00EE020B" w:rsidRPr="004C6AC5" w:rsidRDefault="00EE020B" w:rsidP="00AD01A1">
      <w:pPr>
        <w:pStyle w:val="Heading3"/>
        <w:numPr>
          <w:ilvl w:val="0"/>
          <w:numId w:val="0"/>
        </w:numPr>
        <w:bidi w:val="0"/>
        <w:spacing w:line="360" w:lineRule="auto"/>
        <w:jc w:val="both"/>
        <w:rPr>
          <w:rFonts w:eastAsiaTheme="minorEastAsia"/>
        </w:rPr>
      </w:pPr>
      <w:bookmarkStart w:id="1" w:name="_Toc498595167"/>
      <w:r w:rsidRPr="004C6AC5">
        <w:rPr>
          <w:rFonts w:eastAsiaTheme="minorEastAsia"/>
        </w:rPr>
        <w:lastRenderedPageBreak/>
        <w:t>Empirical Bayes Smoothing of Standard Morbidity Ratio (SMR) by Poisson-Gamma Model</w:t>
      </w:r>
      <w:bookmarkEnd w:id="1"/>
      <w:r w:rsidRPr="004C6AC5">
        <w:rPr>
          <w:rFonts w:eastAsiaTheme="minorEastAsia"/>
        </w:rPr>
        <w:t xml:space="preserve"> </w:t>
      </w:r>
    </w:p>
    <w:p w14:paraId="5905C7D4"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 xml:space="preserve">The standardized morbidity ratio (SMR) uses the indirect method of standardization to compare the morbidity experience of a given area with a standard. Usually morbidity rate at national level is used as standard. </w:t>
      </w:r>
      <w:r>
        <w:rPr>
          <w:rFonts w:asciiTheme="majorBidi" w:eastAsiaTheme="minorEastAsia" w:hAnsiTheme="majorBidi" w:cstheme="majorBidi"/>
          <w:sz w:val="24"/>
          <w:szCs w:val="24"/>
        </w:rPr>
        <w:t>This</w:t>
      </w:r>
      <w:r w:rsidRPr="006C6E35">
        <w:rPr>
          <w:rFonts w:asciiTheme="majorBidi" w:eastAsiaTheme="minorEastAsia" w:hAnsiTheme="majorBidi" w:cstheme="majorBidi"/>
          <w:sz w:val="24"/>
          <w:szCs w:val="24"/>
        </w:rPr>
        <w:t xml:space="preserve"> allow</w:t>
      </w:r>
      <w:r>
        <w:rPr>
          <w:rFonts w:asciiTheme="majorBidi" w:eastAsiaTheme="minorEastAsia" w:hAnsiTheme="majorBidi" w:cstheme="majorBidi"/>
          <w:sz w:val="24"/>
          <w:szCs w:val="24"/>
        </w:rPr>
        <w:t>s</w:t>
      </w:r>
      <w:r w:rsidRPr="006C6E35">
        <w:rPr>
          <w:rFonts w:asciiTheme="majorBidi" w:eastAsiaTheme="minorEastAsia" w:hAnsiTheme="majorBidi" w:cstheme="majorBidi"/>
          <w:sz w:val="24"/>
          <w:szCs w:val="24"/>
        </w:rPr>
        <w:t xml:space="preserve"> the m</w:t>
      </w:r>
      <w:r>
        <w:rPr>
          <w:rFonts w:asciiTheme="majorBidi" w:eastAsiaTheme="minorEastAsia" w:hAnsiTheme="majorBidi" w:cstheme="majorBidi"/>
          <w:sz w:val="24"/>
          <w:szCs w:val="24"/>
        </w:rPr>
        <w:t>orbidity experience of each district</w:t>
      </w:r>
      <w:r w:rsidRPr="006C6E35">
        <w:rPr>
          <w:rFonts w:asciiTheme="majorBidi" w:eastAsiaTheme="minorEastAsia" w:hAnsiTheme="majorBidi" w:cstheme="majorBidi"/>
          <w:sz w:val="24"/>
          <w:szCs w:val="24"/>
        </w:rPr>
        <w:t xml:space="preserve"> to be compared to the national average. </w:t>
      </w:r>
      <w:r>
        <w:rPr>
          <w:rFonts w:asciiTheme="majorBidi" w:eastAsiaTheme="minorEastAsia" w:hAnsiTheme="majorBidi" w:cstheme="majorBidi"/>
          <w:sz w:val="24"/>
          <w:szCs w:val="24"/>
        </w:rPr>
        <w:t xml:space="preserve">For each district, </w:t>
      </w:r>
      <w:r w:rsidRPr="00431327">
        <w:rPr>
          <w:rFonts w:asciiTheme="majorBidi" w:eastAsiaTheme="minorEastAsia" w:hAnsiTheme="majorBidi" w:cstheme="majorBidi"/>
          <w:sz w:val="24"/>
          <w:szCs w:val="24"/>
        </w:rPr>
        <w:t>SMR is the ratio of observed cases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i</m:t>
            </m:r>
          </m:sub>
        </m:sSub>
      </m:oMath>
      <w:r w:rsidRPr="00431327">
        <w:rPr>
          <w:rFonts w:asciiTheme="majorBidi" w:eastAsiaTheme="minorEastAsia" w:hAnsiTheme="majorBidi" w:cstheme="majorBidi"/>
          <w:sz w:val="24"/>
          <w:szCs w:val="24"/>
        </w:rPr>
        <w:t>) to expected one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oMath>
      <w:r w:rsidRPr="00431327">
        <w:rPr>
          <w:rFonts w:asciiTheme="majorBidi" w:eastAsiaTheme="minorEastAsia" w:hAnsiTheme="majorBidi" w:cstheme="majorBidi"/>
          <w:sz w:val="24"/>
          <w:szCs w:val="24"/>
        </w:rPr>
        <w:t xml:space="preserve">). The expected number of cases is calculated </w:t>
      </w:r>
      <w:r>
        <w:rPr>
          <w:rFonts w:asciiTheme="majorBidi" w:eastAsiaTheme="minorEastAsia" w:hAnsiTheme="majorBidi" w:cstheme="majorBidi"/>
          <w:sz w:val="24"/>
          <w:szCs w:val="24"/>
        </w:rPr>
        <w:t>by</w:t>
      </w:r>
      <w:r w:rsidRPr="00431327">
        <w:rPr>
          <w:rFonts w:asciiTheme="majorBidi" w:eastAsiaTheme="minorEastAsia" w:hAnsiTheme="majorBidi" w:cstheme="majorBidi"/>
          <w:sz w:val="24"/>
          <w:szCs w:val="24"/>
        </w:rPr>
        <w:t xml:space="preserve"> multiplying the national (overall) prevalence by sample size at district level (Equations 4.4 and 4.5). </w:t>
      </w:r>
    </w:p>
    <w:p w14:paraId="4DD0007C"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 xml:space="preserve">Equation 4.4: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nary>
              <m:naryPr>
                <m:chr m:val="∑"/>
                <m:limLoc m:val="undOvr"/>
                <m:subHide m:val="1"/>
                <m:supHide m:val="1"/>
                <m:ctrlPr>
                  <w:rPr>
                    <w:rFonts w:ascii="Cambria Math" w:eastAsiaTheme="minorEastAsia" w:hAnsi="Cambria Math" w:cstheme="majorBidi"/>
                    <w:sz w:val="24"/>
                    <w:szCs w:val="24"/>
                  </w:rPr>
                </m:ctrlPr>
              </m:naryPr>
              <m:sub/>
              <m:sup/>
              <m:e>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i</m:t>
                    </m:r>
                  </m:sub>
                </m:sSub>
              </m:e>
            </m:nary>
          </m:num>
          <m:den>
            <m:nary>
              <m:naryPr>
                <m:chr m:val="∑"/>
                <m:limLoc m:val="undOvr"/>
                <m:subHide m:val="1"/>
                <m:supHide m:val="1"/>
                <m:ctrlPr>
                  <w:rPr>
                    <w:rFonts w:ascii="Cambria Math" w:eastAsiaTheme="minorEastAsia" w:hAnsi="Cambria Math" w:cstheme="majorBidi"/>
                    <w:sz w:val="24"/>
                    <w:szCs w:val="24"/>
                  </w:rPr>
                </m:ctrlPr>
              </m:naryPr>
              <m:sub/>
              <m:sup/>
              <m:e>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n</m:t>
                    </m:r>
                  </m:e>
                  <m:sub>
                    <m:r>
                      <m:rPr>
                        <m:sty m:val="p"/>
                      </m:rPr>
                      <w:rPr>
                        <w:rFonts w:ascii="Cambria Math" w:eastAsiaTheme="minorEastAsia" w:hAnsi="Cambria Math" w:cstheme="majorBidi"/>
                        <w:sz w:val="24"/>
                        <w:szCs w:val="24"/>
                      </w:rPr>
                      <m:t>i</m:t>
                    </m:r>
                  </m:sub>
                </m:sSub>
              </m:e>
            </m:nary>
          </m:den>
        </m:f>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n</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=overall prevalence*</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n</m:t>
            </m:r>
          </m:e>
          <m:sub>
            <m:r>
              <m:rPr>
                <m:sty m:val="p"/>
              </m:rPr>
              <w:rPr>
                <w:rFonts w:ascii="Cambria Math" w:eastAsiaTheme="minorEastAsia" w:hAnsi="Cambria Math" w:cstheme="majorBidi"/>
                <w:sz w:val="24"/>
                <w:szCs w:val="24"/>
              </w:rPr>
              <m:t>i</m:t>
            </m:r>
          </m:sub>
        </m:sSub>
      </m:oMath>
    </w:p>
    <w:p w14:paraId="3FAF612D"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 xml:space="preserve">Equation 4.5: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SMR</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i</m:t>
                </m:r>
              </m:sub>
            </m:sSub>
          </m:num>
          <m:den>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den>
        </m:f>
      </m:oMath>
    </w:p>
    <w:p w14:paraId="462FC3CE"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 xml:space="preserve">The interpretation of SMR is the same as that of Relative Risk (RR). SMR of one indicates that risk of outcome in </w:t>
      </w:r>
      <w:r>
        <w:rPr>
          <w:rFonts w:asciiTheme="majorBidi" w:eastAsiaTheme="minorEastAsia" w:hAnsiTheme="majorBidi" w:cstheme="majorBidi"/>
          <w:sz w:val="24"/>
          <w:szCs w:val="24"/>
        </w:rPr>
        <w:t>a</w:t>
      </w:r>
      <w:r w:rsidRPr="00431327">
        <w:rPr>
          <w:rFonts w:asciiTheme="majorBidi" w:eastAsiaTheme="minorEastAsia" w:hAnsiTheme="majorBidi" w:cstheme="majorBidi"/>
          <w:sz w:val="24"/>
          <w:szCs w:val="24"/>
        </w:rPr>
        <w:t xml:space="preserve"> district is the same as </w:t>
      </w:r>
      <w:r>
        <w:rPr>
          <w:rFonts w:asciiTheme="majorBidi" w:eastAsiaTheme="minorEastAsia" w:hAnsiTheme="majorBidi" w:cstheme="majorBidi"/>
          <w:sz w:val="24"/>
          <w:szCs w:val="24"/>
        </w:rPr>
        <w:t>the risk for the nation</w:t>
      </w:r>
      <w:r w:rsidRPr="00431327">
        <w:rPr>
          <w:rFonts w:asciiTheme="majorBidi" w:eastAsiaTheme="minorEastAsia" w:hAnsiTheme="majorBidi" w:cstheme="majorBidi"/>
          <w:sz w:val="24"/>
          <w:szCs w:val="24"/>
        </w:rPr>
        <w:t xml:space="preserve">. On the other hand, SMR of five means that the risk of outcome in the district is five times that of the national average. As explained before, in the case of small area analysis, SMR estimates are likely to become </w:t>
      </w:r>
      <w:r>
        <w:rPr>
          <w:rFonts w:asciiTheme="majorBidi" w:eastAsiaTheme="minorEastAsia" w:hAnsiTheme="majorBidi" w:cstheme="majorBidi"/>
          <w:sz w:val="24"/>
          <w:szCs w:val="24"/>
        </w:rPr>
        <w:t>very</w:t>
      </w:r>
      <w:r w:rsidRPr="00431327">
        <w:rPr>
          <w:rFonts w:asciiTheme="majorBidi" w:eastAsiaTheme="minorEastAsia" w:hAnsiTheme="majorBidi" w:cstheme="majorBidi"/>
          <w:sz w:val="24"/>
          <w:szCs w:val="24"/>
        </w:rPr>
        <w:t xml:space="preserve"> diverse. </w:t>
      </w:r>
    </w:p>
    <w:p w14:paraId="3177821D"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To provide a numerical example, we will continue with our previous example. As shown in Figure 4.4, we divided summation of all positive cases to the total sample size to get the national prevalence (</w:t>
      </w:r>
      <m:oMath>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79</m:t>
            </m:r>
          </m:num>
          <m:den>
            <m:r>
              <m:rPr>
                <m:sty m:val="p"/>
              </m:rPr>
              <w:rPr>
                <w:rFonts w:ascii="Cambria Math" w:eastAsiaTheme="minorEastAsia" w:hAnsi="Cambria Math" w:cstheme="majorBidi"/>
                <w:sz w:val="24"/>
                <w:szCs w:val="24"/>
              </w:rPr>
              <m:t>424</m:t>
            </m:r>
          </m:den>
        </m:f>
        <m:r>
          <m:rPr>
            <m:sty m:val="p"/>
          </m:rPr>
          <w:rPr>
            <w:rFonts w:ascii="Cambria Math" w:eastAsiaTheme="minorEastAsia" w:hAnsi="Cambria Math" w:cstheme="majorBidi"/>
            <w:sz w:val="24"/>
            <w:szCs w:val="24"/>
          </w:rPr>
          <m:t>=0.19</m:t>
        </m:r>
      </m:oMath>
      <w:r w:rsidRPr="00431327">
        <w:rPr>
          <w:rFonts w:asciiTheme="majorBidi" w:eastAsiaTheme="minorEastAsia" w:hAnsiTheme="majorBidi" w:cstheme="majorBidi"/>
          <w:sz w:val="24"/>
          <w:szCs w:val="24"/>
        </w:rPr>
        <w:t xml:space="preserve">). Sample size of each district is multiplied to 0.19 to get expected number of positive cases (Column D). Dividing observed to the expected number of positive cases SMR is calculated (Column E). Due to small sample size </w:t>
      </w:r>
      <w:r>
        <w:rPr>
          <w:rFonts w:asciiTheme="majorBidi" w:eastAsiaTheme="minorEastAsia" w:hAnsiTheme="majorBidi" w:cstheme="majorBidi"/>
          <w:sz w:val="24"/>
          <w:szCs w:val="24"/>
        </w:rPr>
        <w:t>in</w:t>
      </w:r>
      <w:r w:rsidRPr="00431327">
        <w:rPr>
          <w:rFonts w:asciiTheme="majorBidi" w:eastAsiaTheme="minorEastAsia" w:hAnsiTheme="majorBidi" w:cstheme="majorBidi"/>
          <w:sz w:val="24"/>
          <w:szCs w:val="24"/>
        </w:rPr>
        <w:t xml:space="preserve"> some districts, SMR values are highly diverse around one, with </w:t>
      </w:r>
      <w:r>
        <w:rPr>
          <w:rFonts w:asciiTheme="majorBidi" w:eastAsiaTheme="minorEastAsia" w:hAnsiTheme="majorBidi" w:cstheme="majorBidi"/>
          <w:sz w:val="24"/>
          <w:szCs w:val="24"/>
        </w:rPr>
        <w:t xml:space="preserve">a </w:t>
      </w:r>
      <w:r w:rsidRPr="00431327">
        <w:rPr>
          <w:rFonts w:asciiTheme="majorBidi" w:eastAsiaTheme="minorEastAsia" w:hAnsiTheme="majorBidi" w:cstheme="majorBidi"/>
          <w:sz w:val="24"/>
          <w:szCs w:val="24"/>
        </w:rPr>
        <w:t>range</w:t>
      </w:r>
      <w:r>
        <w:rPr>
          <w:rFonts w:asciiTheme="majorBidi" w:eastAsiaTheme="minorEastAsia" w:hAnsiTheme="majorBidi" w:cstheme="majorBidi"/>
          <w:sz w:val="24"/>
          <w:szCs w:val="24"/>
        </w:rPr>
        <w:t xml:space="preserve"> of</w:t>
      </w:r>
      <w:r w:rsidRPr="00431327">
        <w:rPr>
          <w:rFonts w:asciiTheme="majorBidi" w:eastAsiaTheme="minorEastAsia" w:hAnsiTheme="majorBidi" w:cstheme="majorBidi"/>
          <w:sz w:val="24"/>
          <w:szCs w:val="24"/>
        </w:rPr>
        <w:t xml:space="preserve"> 0 to 5.37.</w:t>
      </w:r>
    </w:p>
    <w:p w14:paraId="50C768ED" w14:textId="77777777" w:rsidR="00EE020B" w:rsidRDefault="00EE020B" w:rsidP="00EE020B">
      <w:pPr>
        <w:rPr>
          <w:rFonts w:asciiTheme="majorBidi" w:eastAsiaTheme="minorEastAsia" w:hAnsiTheme="majorBidi" w:cstheme="majorBidi"/>
        </w:rPr>
      </w:pPr>
    </w:p>
    <w:p w14:paraId="0D113680" w14:textId="77777777" w:rsidR="00EE020B" w:rsidRDefault="00EE020B" w:rsidP="00EE020B">
      <w:pPr>
        <w:rPr>
          <w:rFonts w:asciiTheme="majorBidi" w:eastAsiaTheme="minorEastAsia" w:hAnsiTheme="majorBidi" w:cstheme="majorBidi"/>
        </w:rPr>
      </w:pPr>
      <w:r>
        <w:rPr>
          <w:rFonts w:asciiTheme="majorBidi" w:eastAsiaTheme="minorEastAsia" w:hAnsiTheme="majorBidi" w:cstheme="majorBidi"/>
        </w:rPr>
        <w:br w:type="page"/>
      </w:r>
    </w:p>
    <w:p w14:paraId="68647D47" w14:textId="77777777" w:rsidR="00EE020B" w:rsidRDefault="00EE020B" w:rsidP="00EE020B">
      <w:pPr>
        <w:spacing w:line="360" w:lineRule="auto"/>
        <w:jc w:val="both"/>
        <w:rPr>
          <w:rFonts w:asciiTheme="majorBidi" w:eastAsiaTheme="minorEastAsia" w:hAnsiTheme="majorBidi" w:cstheme="majorBidi"/>
        </w:rPr>
      </w:pPr>
      <w:r>
        <w:rPr>
          <w:rFonts w:asciiTheme="majorBidi" w:eastAsiaTheme="minorEastAsia" w:hAnsiTheme="majorBidi" w:cstheme="majorBidi"/>
        </w:rPr>
        <w:lastRenderedPageBreak/>
        <w:t>Figure 4.4: Calculation of crude SMR</w:t>
      </w:r>
    </w:p>
    <w:p w14:paraId="7226F025" w14:textId="77777777" w:rsidR="00EE020B" w:rsidRDefault="00EE020B" w:rsidP="00EE020B">
      <w:pPr>
        <w:spacing w:line="360" w:lineRule="auto"/>
        <w:jc w:val="both"/>
        <w:rPr>
          <w:rFonts w:asciiTheme="majorBidi" w:eastAsiaTheme="minorEastAsia" w:hAnsiTheme="majorBidi" w:cstheme="majorBidi"/>
        </w:rPr>
      </w:pPr>
      <w:r>
        <w:rPr>
          <w:noProof/>
          <w:lang w:val="en-AU" w:eastAsia="en-AU"/>
        </w:rPr>
        <w:drawing>
          <wp:inline distT="0" distB="0" distL="0" distR="0" wp14:anchorId="75D4A965" wp14:editId="7A736F9D">
            <wp:extent cx="59531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889" r="22436" b="25427"/>
                    <a:stretch/>
                  </pic:blipFill>
                  <pic:spPr bwMode="auto">
                    <a:xfrm>
                      <a:off x="0" y="0"/>
                      <a:ext cx="5953125" cy="3219450"/>
                    </a:xfrm>
                    <a:prstGeom prst="rect">
                      <a:avLst/>
                    </a:prstGeom>
                    <a:ln>
                      <a:noFill/>
                    </a:ln>
                    <a:extLst>
                      <a:ext uri="{53640926-AAD7-44D8-BBD7-CCE9431645EC}">
                        <a14:shadowObscured xmlns:a14="http://schemas.microsoft.com/office/drawing/2010/main"/>
                      </a:ext>
                    </a:extLst>
                  </pic:spPr>
                </pic:pic>
              </a:graphicData>
            </a:graphic>
          </wp:inline>
        </w:drawing>
      </w:r>
    </w:p>
    <w:p w14:paraId="5AD7B619"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To smooth the SMR estimates, we assume that the number of positive cases in district i follow Poisson distribution with mean</w:t>
      </w:r>
      <w:r>
        <w:rPr>
          <w:rFonts w:asciiTheme="majorBidi" w:eastAsiaTheme="minorEastAsia" w:hAnsiTheme="majorBidi" w:cstheme="majorBidi"/>
          <w:sz w:val="24"/>
          <w:szCs w:val="24"/>
        </w:rPr>
        <w:t xml:space="preserve"> of</w:t>
      </w:r>
      <w:r w:rsidRPr="00431327">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SMR</m:t>
            </m:r>
          </m:e>
          <m:sub>
            <m:r>
              <m:rPr>
                <m:sty m:val="p"/>
              </m:rPr>
              <w:rPr>
                <w:rFonts w:ascii="Cambria Math" w:eastAsiaTheme="minorEastAsia" w:hAnsi="Cambria Math" w:cstheme="majorBidi"/>
                <w:sz w:val="24"/>
                <w:szCs w:val="24"/>
              </w:rPr>
              <m:t>i</m:t>
            </m:r>
          </m:sub>
        </m:sSub>
      </m:oMath>
      <w:r w:rsidRPr="00431327">
        <w:rPr>
          <w:rFonts w:asciiTheme="majorBidi" w:eastAsiaTheme="minorEastAsia" w:hAnsiTheme="majorBidi" w:cstheme="majorBidi"/>
          <w:sz w:val="24"/>
          <w:szCs w:val="24"/>
        </w:rPr>
        <w:t xml:space="preserve">. The conjugate for Poisson distribution is </w:t>
      </w:r>
      <m:oMath>
        <m:r>
          <m:rPr>
            <m:sty m:val="p"/>
          </m:rPr>
          <w:rPr>
            <w:rFonts w:ascii="Cambria Math" w:eastAsiaTheme="minorEastAsia" w:hAnsi="Cambria Math" w:cstheme="majorBidi"/>
            <w:sz w:val="24"/>
            <w:szCs w:val="24"/>
          </w:rPr>
          <m:t>Gamma(a,b)</m:t>
        </m:r>
      </m:oMath>
      <w:r w:rsidRPr="00431327">
        <w:rPr>
          <w:rFonts w:asciiTheme="majorBidi" w:eastAsiaTheme="minorEastAsia" w:hAnsiTheme="majorBidi" w:cstheme="majorBidi"/>
          <w:sz w:val="24"/>
          <w:szCs w:val="24"/>
        </w:rPr>
        <w:t>. Mean and variance of Gamma distribution is:</w:t>
      </w:r>
    </w:p>
    <w:p w14:paraId="2071C443" w14:textId="77777777" w:rsidR="00EE020B" w:rsidRPr="00B73B57"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Equation 4.6:                          </w:t>
      </w:r>
      <m:oMath>
        <m:r>
          <m:rPr>
            <m:sty m:val="p"/>
          </m:rPr>
          <w:rPr>
            <w:rFonts w:ascii="Cambria Math" w:eastAsiaTheme="minorEastAsia" w:hAnsi="Cambria Math" w:cstheme="majorBidi"/>
            <w:sz w:val="24"/>
            <w:szCs w:val="24"/>
          </w:rPr>
          <m:t>µ=</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a</m:t>
            </m:r>
          </m:num>
          <m:den>
            <m:r>
              <m:rPr>
                <m:sty m:val="p"/>
              </m:rPr>
              <w:rPr>
                <w:rFonts w:ascii="Cambria Math" w:eastAsiaTheme="minorEastAsia" w:hAnsi="Cambria Math" w:cstheme="majorBidi"/>
                <w:sz w:val="24"/>
                <w:szCs w:val="24"/>
              </w:rPr>
              <m:t>b</m:t>
            </m:r>
          </m:den>
        </m:f>
      </m:oMath>
      <w:r>
        <w:rPr>
          <w:rFonts w:asciiTheme="majorBidi" w:eastAsiaTheme="minorEastAsia" w:hAnsiTheme="majorBidi" w:cstheme="majorBidi"/>
          <w:sz w:val="24"/>
          <w:szCs w:val="24"/>
        </w:rPr>
        <w:t xml:space="preserve">                  </w:t>
      </w:r>
      <m:oMath>
        <m:sSup>
          <m:sSupPr>
            <m:ctrlPr>
              <w:rPr>
                <w:rFonts w:ascii="Cambria Math" w:eastAsiaTheme="minorEastAsia" w:hAnsi="Cambria Math" w:cstheme="majorBidi"/>
                <w:sz w:val="24"/>
                <w:szCs w:val="24"/>
              </w:rPr>
            </m:ctrlPr>
          </m:sSupPr>
          <m:e>
            <m:r>
              <m:rPr>
                <m:sty m:val="p"/>
              </m:rPr>
              <w:rPr>
                <w:rFonts w:ascii="Cambria Math" w:eastAsiaTheme="minorEastAsia" w:hAnsi="Cambria Math" w:cstheme="majorBidi"/>
                <w:sz w:val="24"/>
                <w:szCs w:val="24"/>
              </w:rPr>
              <m:t>σ</m:t>
            </m:r>
          </m:e>
          <m:sup>
            <m:r>
              <m:rPr>
                <m:sty m:val="p"/>
              </m:rPr>
              <w:rPr>
                <w:rFonts w:ascii="Cambria Math" w:eastAsiaTheme="minorEastAsia" w:hAnsi="Cambria Math" w:cstheme="majorBidi"/>
                <w:sz w:val="24"/>
                <w:szCs w:val="24"/>
              </w:rPr>
              <m:t>2</m:t>
            </m:r>
          </m:sup>
        </m:sSup>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a</m:t>
            </m:r>
          </m:num>
          <m:den>
            <m:sSup>
              <m:sSupPr>
                <m:ctrlPr>
                  <w:rPr>
                    <w:rFonts w:ascii="Cambria Math" w:eastAsiaTheme="minorEastAsia" w:hAnsi="Cambria Math" w:cstheme="majorBidi"/>
                    <w:sz w:val="24"/>
                    <w:szCs w:val="24"/>
                  </w:rPr>
                </m:ctrlPr>
              </m:sSupPr>
              <m:e>
                <m:r>
                  <m:rPr>
                    <m:sty m:val="p"/>
                  </m:rPr>
                  <w:rPr>
                    <w:rFonts w:ascii="Cambria Math" w:eastAsiaTheme="minorEastAsia" w:hAnsi="Cambria Math" w:cstheme="majorBidi"/>
                    <w:sz w:val="24"/>
                    <w:szCs w:val="24"/>
                  </w:rPr>
                  <m:t>b</m:t>
                </m:r>
              </m:e>
              <m:sup>
                <m:r>
                  <m:rPr>
                    <m:sty m:val="p"/>
                  </m:rPr>
                  <w:rPr>
                    <w:rFonts w:ascii="Cambria Math" w:eastAsiaTheme="minorEastAsia" w:hAnsi="Cambria Math" w:cstheme="majorBidi"/>
                    <w:sz w:val="24"/>
                    <w:szCs w:val="24"/>
                  </w:rPr>
                  <m:t>2</m:t>
                </m:r>
              </m:sup>
            </m:sSup>
          </m:den>
        </m:f>
      </m:oMath>
    </w:p>
    <w:p w14:paraId="4782F663" w14:textId="77777777" w:rsidR="00EE020B" w:rsidRPr="00431327" w:rsidRDefault="00EE020B" w:rsidP="00EE020B">
      <w:pPr>
        <w:spacing w:line="360" w:lineRule="auto"/>
        <w:jc w:val="both"/>
        <w:rPr>
          <w:rFonts w:asciiTheme="majorBidi" w:eastAsiaTheme="minorEastAsia" w:hAnsiTheme="majorBidi" w:cstheme="majorBidi"/>
          <w:sz w:val="24"/>
          <w:szCs w:val="24"/>
        </w:rPr>
      </w:pPr>
    </w:p>
    <w:p w14:paraId="063308B6"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 xml:space="preserve">In this case, the posterior distribution </w:t>
      </w:r>
      <w:r>
        <w:rPr>
          <w:rFonts w:asciiTheme="majorBidi" w:eastAsiaTheme="minorEastAsia" w:hAnsiTheme="majorBidi" w:cstheme="majorBidi"/>
          <w:sz w:val="24"/>
          <w:szCs w:val="24"/>
        </w:rPr>
        <w:t>is</w:t>
      </w:r>
      <w:r w:rsidRPr="00431327">
        <w:rPr>
          <w:rFonts w:asciiTheme="majorBidi" w:eastAsiaTheme="minorEastAsia" w:hAnsiTheme="majorBidi" w:cstheme="majorBidi"/>
          <w:sz w:val="24"/>
          <w:szCs w:val="24"/>
        </w:rPr>
        <w:t xml:space="preserve"> </w:t>
      </w:r>
      <m:oMath>
        <m:r>
          <m:rPr>
            <m:sty m:val="p"/>
          </m:rPr>
          <w:rPr>
            <w:rFonts w:ascii="Cambria Math" w:eastAsiaTheme="minorEastAsia" w:hAnsi="Cambria Math" w:cstheme="majorBidi"/>
            <w:sz w:val="24"/>
            <w:szCs w:val="24"/>
          </w:rPr>
          <m:t>Gamma</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a+</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,b+</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e>
        </m:d>
      </m:oMath>
      <w:r>
        <w:rPr>
          <w:rFonts w:asciiTheme="majorBidi" w:eastAsiaTheme="minorEastAsia" w:hAnsiTheme="majorBidi" w:cstheme="majorBidi"/>
          <w:sz w:val="24"/>
          <w:szCs w:val="24"/>
        </w:rPr>
        <w:t xml:space="preserve"> distribution</w:t>
      </w:r>
      <w:r w:rsidRPr="00431327">
        <w:rPr>
          <w:rFonts w:asciiTheme="majorBidi" w:eastAsiaTheme="minorEastAsia" w:hAnsiTheme="majorBidi" w:cstheme="majorBidi"/>
          <w:sz w:val="24"/>
          <w:szCs w:val="24"/>
        </w:rPr>
        <w:t>. The mean of this posterior distribution is used to smooth district level SMR:</w:t>
      </w:r>
    </w:p>
    <w:p w14:paraId="6EE1F24D"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431327">
        <w:rPr>
          <w:rFonts w:asciiTheme="majorBidi" w:eastAsiaTheme="minorEastAsia" w:hAnsiTheme="majorBidi" w:cstheme="majorBidi"/>
          <w:sz w:val="24"/>
          <w:szCs w:val="24"/>
        </w:rPr>
        <w:t xml:space="preserve">Equation 4.7:              </w:t>
      </w:r>
      <m:oMath>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 xml:space="preserve"> µ</m:t>
            </m:r>
          </m:e>
          <m:sub>
            <m:r>
              <m:rPr>
                <m:sty m:val="p"/>
              </m:rPr>
              <w:rPr>
                <w:rFonts w:ascii="Cambria Math" w:eastAsiaTheme="minorEastAsia" w:hAnsi="Cambria Math" w:cstheme="majorBidi"/>
                <w:sz w:val="24"/>
                <w:szCs w:val="24"/>
              </w:rPr>
              <m:t>Posterior</m:t>
            </m:r>
          </m:sub>
        </m:sSub>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a+</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i</m:t>
                </m:r>
              </m:sub>
            </m:sSub>
          </m:num>
          <m:den>
            <m:r>
              <m:rPr>
                <m:sty m:val="p"/>
              </m:rPr>
              <w:rPr>
                <w:rFonts w:ascii="Cambria Math" w:eastAsiaTheme="minorEastAsia" w:hAnsi="Cambria Math" w:cstheme="majorBidi"/>
                <w:sz w:val="24"/>
                <w:szCs w:val="24"/>
              </w:rPr>
              <m:t>b+</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den>
        </m:f>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SMR</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1-</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w</m:t>
                </m:r>
              </m:e>
              <m:sub>
                <m:r>
                  <m:rPr>
                    <m:sty m:val="p"/>
                  </m:rPr>
                  <w:rPr>
                    <w:rFonts w:ascii="Cambria Math" w:eastAsiaTheme="minorEastAsia" w:hAnsi="Cambria Math" w:cstheme="majorBidi"/>
                    <w:sz w:val="24"/>
                    <w:szCs w:val="24"/>
                  </w:rPr>
                  <m:t>i</m:t>
                </m:r>
              </m:sub>
            </m:sSub>
          </m:e>
        </m:d>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a</m:t>
            </m:r>
          </m:num>
          <m:den>
            <m:r>
              <m:rPr>
                <m:sty m:val="p"/>
              </m:rPr>
              <w:rPr>
                <w:rFonts w:ascii="Cambria Math" w:eastAsiaTheme="minorEastAsia" w:hAnsi="Cambria Math" w:cstheme="majorBidi"/>
                <w:sz w:val="24"/>
                <w:szCs w:val="24"/>
              </w:rPr>
              <m:t>b</m:t>
            </m:r>
          </m:den>
        </m:f>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num>
          <m:den>
            <m:r>
              <m:rPr>
                <m:sty m:val="p"/>
              </m:rPr>
              <w:rPr>
                <w:rFonts w:ascii="Cambria Math" w:eastAsiaTheme="minorEastAsia" w:hAnsi="Cambria Math" w:cstheme="majorBidi"/>
                <w:sz w:val="24"/>
                <w:szCs w:val="24"/>
              </w:rPr>
              <m:t>b+</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den>
        </m:f>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SMR</m:t>
            </m:r>
          </m:e>
          <m:sub>
            <m:r>
              <m:rPr>
                <m:sty m:val="p"/>
              </m:rPr>
              <w:rPr>
                <w:rFonts w:ascii="Cambria Math" w:eastAsiaTheme="minorEastAsia" w:hAnsi="Cambria Math" w:cstheme="majorBidi"/>
                <w:sz w:val="24"/>
                <w:szCs w:val="24"/>
              </w:rPr>
              <m:t>i</m:t>
            </m:r>
          </m:sub>
        </m:sSub>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b</m:t>
            </m:r>
          </m:num>
          <m:den>
            <m:r>
              <m:rPr>
                <m:sty m:val="p"/>
              </m:rPr>
              <w:rPr>
                <w:rFonts w:ascii="Cambria Math" w:eastAsiaTheme="minorEastAsia" w:hAnsi="Cambria Math" w:cstheme="majorBidi"/>
                <w:sz w:val="24"/>
                <w:szCs w:val="24"/>
              </w:rPr>
              <m:t>b+</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E</m:t>
                </m:r>
              </m:e>
              <m:sub>
                <m:r>
                  <m:rPr>
                    <m:sty m:val="p"/>
                  </m:rPr>
                  <w:rPr>
                    <w:rFonts w:ascii="Cambria Math" w:eastAsiaTheme="minorEastAsia" w:hAnsi="Cambria Math" w:cstheme="majorBidi"/>
                    <w:sz w:val="24"/>
                    <w:szCs w:val="24"/>
                  </w:rPr>
                  <m:t>i</m:t>
                </m:r>
              </m:sub>
            </m:sSub>
          </m:den>
        </m:f>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a</m:t>
            </m:r>
          </m:num>
          <m:den>
            <m:r>
              <m:rPr>
                <m:sty m:val="p"/>
              </m:rPr>
              <w:rPr>
                <w:rFonts w:ascii="Cambria Math" w:eastAsiaTheme="minorEastAsia" w:hAnsi="Cambria Math" w:cstheme="majorBidi"/>
                <w:sz w:val="24"/>
                <w:szCs w:val="24"/>
              </w:rPr>
              <m:t>b</m:t>
            </m:r>
          </m:den>
        </m:f>
      </m:oMath>
    </w:p>
    <w:p w14:paraId="6D19590C" w14:textId="77777777" w:rsidR="00EE020B"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To be able to implement these analyses in Excel, we should construct the likelihood function based on</w:t>
      </w:r>
      <w:r w:rsidRPr="006C5C5E">
        <w:rPr>
          <w:rFonts w:asciiTheme="majorBidi" w:eastAsiaTheme="minorEastAsia" w:hAnsiTheme="majorBidi" w:cstheme="majorBidi"/>
          <w:sz w:val="24"/>
          <w:szCs w:val="24"/>
        </w:rPr>
        <w:t xml:space="preserve"> Poisson-Gamma distribution, </w:t>
      </w:r>
      <w:r>
        <w:rPr>
          <w:rFonts w:asciiTheme="majorBidi" w:eastAsiaTheme="minorEastAsia" w:hAnsiTheme="majorBidi" w:cstheme="majorBidi"/>
          <w:sz w:val="24"/>
          <w:szCs w:val="24"/>
        </w:rPr>
        <w:t>and maximize the function</w:t>
      </w:r>
      <w:r w:rsidRPr="006C5C5E">
        <w:rPr>
          <w:rFonts w:asciiTheme="majorBidi" w:eastAsiaTheme="minorEastAsia" w:hAnsiTheme="majorBidi" w:cstheme="majorBidi"/>
          <w:sz w:val="24"/>
          <w:szCs w:val="24"/>
        </w:rPr>
        <w:t xml:space="preserve"> with respect to </w:t>
      </w:r>
      <w:r>
        <w:rPr>
          <w:rFonts w:asciiTheme="majorBidi" w:eastAsiaTheme="minorEastAsia" w:hAnsiTheme="majorBidi" w:cstheme="majorBidi"/>
          <w:sz w:val="24"/>
          <w:szCs w:val="24"/>
        </w:rPr>
        <w:t xml:space="preserve">hyper-parameters </w:t>
      </w:r>
      <w:r w:rsidRPr="00431327">
        <w:rPr>
          <w:rFonts w:asciiTheme="majorBidi" w:eastAsiaTheme="minorEastAsia" w:hAnsiTheme="majorBidi" w:cstheme="majorBidi"/>
          <w:sz w:val="24"/>
          <w:szCs w:val="24"/>
        </w:rPr>
        <w:t xml:space="preserve">a and b </w:t>
      </w:r>
      <w:r w:rsidRPr="006C5C5E">
        <w:rPr>
          <w:rFonts w:asciiTheme="majorBidi" w:eastAsiaTheme="minorEastAsia" w:hAnsiTheme="majorBidi" w:cstheme="majorBidi"/>
          <w:sz w:val="24"/>
          <w:szCs w:val="24"/>
        </w:rPr>
        <w:t>(Equation</w:t>
      </w:r>
      <w:r>
        <w:rPr>
          <w:rFonts w:asciiTheme="majorBidi" w:eastAsiaTheme="minorEastAsia" w:hAnsiTheme="majorBidi" w:cstheme="majorBidi"/>
          <w:sz w:val="24"/>
          <w:szCs w:val="24"/>
        </w:rPr>
        <w:t>s</w:t>
      </w:r>
      <w:r w:rsidRPr="006C5C5E">
        <w:rPr>
          <w:rFonts w:asciiTheme="majorBidi" w:eastAsiaTheme="minorEastAsia" w:hAnsiTheme="majorBidi" w:cstheme="majorBidi"/>
          <w:sz w:val="24"/>
          <w:szCs w:val="24"/>
        </w:rPr>
        <w:t xml:space="preserve"> 4.</w:t>
      </w:r>
      <w:r>
        <w:rPr>
          <w:rFonts w:asciiTheme="majorBidi" w:eastAsiaTheme="minorEastAsia" w:hAnsiTheme="majorBidi" w:cstheme="majorBidi"/>
          <w:sz w:val="24"/>
          <w:szCs w:val="24"/>
        </w:rPr>
        <w:t>8 and 4.9</w:t>
      </w:r>
      <w:r w:rsidRPr="006C5C5E">
        <w:rPr>
          <w:rFonts w:asciiTheme="majorBidi" w:eastAsiaTheme="minorEastAsia" w:hAnsiTheme="majorBidi" w:cstheme="majorBidi"/>
          <w:sz w:val="24"/>
          <w:szCs w:val="24"/>
        </w:rPr>
        <w:t xml:space="preserve">). </w:t>
      </w:r>
    </w:p>
    <w:p w14:paraId="007A22EA" w14:textId="77777777" w:rsidR="00EE020B" w:rsidRPr="006E1CC7"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Equation 4.8:                  </w:t>
      </w:r>
      <m:oMath>
        <m:r>
          <m:rPr>
            <m:sty m:val="p"/>
          </m:rPr>
          <w:rPr>
            <w:rFonts w:ascii="Cambria Math" w:eastAsiaTheme="minorEastAsia" w:hAnsi="Cambria Math" w:cstheme="majorBidi"/>
            <w:sz w:val="24"/>
            <w:szCs w:val="24"/>
          </w:rPr>
          <m:t>f</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x</m:t>
            </m:r>
          </m:e>
        </m:d>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sSup>
              <m:sSupPr>
                <m:ctrlPr>
                  <w:rPr>
                    <w:rFonts w:ascii="Cambria Math" w:eastAsiaTheme="minorEastAsia" w:hAnsi="Cambria Math" w:cstheme="majorBidi"/>
                    <w:sz w:val="24"/>
                    <w:szCs w:val="24"/>
                  </w:rPr>
                </m:ctrlPr>
              </m:sSupPr>
              <m:e>
                <m:r>
                  <m:rPr>
                    <m:sty m:val="p"/>
                  </m:rPr>
                  <w:rPr>
                    <w:rFonts w:ascii="Cambria Math" w:eastAsiaTheme="minorEastAsia" w:hAnsi="Cambria Math" w:cstheme="majorBidi"/>
                    <w:sz w:val="24"/>
                    <w:szCs w:val="24"/>
                  </w:rPr>
                  <m:t>b</m:t>
                </m:r>
              </m:e>
              <m:sup>
                <m:r>
                  <m:rPr>
                    <m:sty m:val="p"/>
                  </m:rPr>
                  <w:rPr>
                    <w:rFonts w:ascii="Cambria Math" w:eastAsiaTheme="minorEastAsia" w:hAnsi="Cambria Math" w:cstheme="majorBidi"/>
                    <w:sz w:val="24"/>
                    <w:szCs w:val="24"/>
                  </w:rPr>
                  <m:t>a</m:t>
                </m:r>
              </m:sup>
            </m:sSup>
            <m:sSup>
              <m:sSupPr>
                <m:ctrlPr>
                  <w:rPr>
                    <w:rFonts w:ascii="Cambria Math" w:eastAsiaTheme="minorEastAsia" w:hAnsi="Cambria Math" w:cstheme="majorBidi"/>
                    <w:sz w:val="24"/>
                    <w:szCs w:val="24"/>
                  </w:rPr>
                </m:ctrlPr>
              </m:sSupPr>
              <m:e>
                <m:r>
                  <m:rPr>
                    <m:sty m:val="p"/>
                  </m:rPr>
                  <w:rPr>
                    <w:rFonts w:ascii="Cambria Math" w:eastAsiaTheme="minorEastAsia" w:hAnsi="Cambria Math" w:cstheme="majorBidi"/>
                    <w:sz w:val="24"/>
                    <w:szCs w:val="24"/>
                  </w:rPr>
                  <m:t>E</m:t>
                </m:r>
              </m:e>
              <m:sup>
                <m:r>
                  <m:rPr>
                    <m:sty m:val="p"/>
                  </m:rPr>
                  <w:rPr>
                    <w:rFonts w:ascii="Cambria Math" w:eastAsiaTheme="minorEastAsia" w:hAnsi="Cambria Math" w:cstheme="majorBidi"/>
                    <w:sz w:val="24"/>
                    <w:szCs w:val="24"/>
                  </w:rPr>
                  <m:t>x</m:t>
                </m:r>
              </m:sup>
            </m:sSup>
            <m:r>
              <m:rPr>
                <m:sty m:val="p"/>
              </m:rPr>
              <w:rPr>
                <w:rFonts w:ascii="Cambria Math" w:eastAsiaTheme="minorEastAsia" w:hAnsi="Cambria Math" w:cstheme="majorBidi"/>
                <w:sz w:val="24"/>
                <w:szCs w:val="24"/>
              </w:rPr>
              <m:t>Γ(x+a)</m:t>
            </m:r>
          </m:num>
          <m:den>
            <m:r>
              <m:rPr>
                <m:sty m:val="p"/>
              </m:rPr>
              <w:rPr>
                <w:rFonts w:ascii="Cambria Math" w:eastAsiaTheme="minorEastAsia" w:hAnsi="Cambria Math" w:cstheme="majorBidi"/>
                <w:sz w:val="24"/>
                <w:szCs w:val="24"/>
              </w:rPr>
              <m:t>Γ</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a</m:t>
                </m:r>
              </m:e>
            </m:d>
            <m:r>
              <m:rPr>
                <m:sty m:val="p"/>
              </m:rPr>
              <w:rPr>
                <w:rFonts w:ascii="Cambria Math" w:eastAsiaTheme="minorEastAsia" w:hAnsi="Cambria Math" w:cstheme="majorBidi"/>
                <w:sz w:val="24"/>
                <w:szCs w:val="24"/>
              </w:rPr>
              <m:t>x!(b+E</m:t>
            </m:r>
            <m:sSup>
              <m:sSupPr>
                <m:ctrlPr>
                  <w:rPr>
                    <w:rFonts w:ascii="Cambria Math" w:eastAsiaTheme="minorEastAsia" w:hAnsi="Cambria Math" w:cstheme="majorBidi"/>
                    <w:sz w:val="24"/>
                    <w:szCs w:val="24"/>
                  </w:rPr>
                </m:ctrlPr>
              </m:sSupPr>
              <m:e>
                <m:r>
                  <m:rPr>
                    <m:sty m:val="p"/>
                  </m:rPr>
                  <w:rPr>
                    <w:rFonts w:ascii="Cambria Math" w:eastAsiaTheme="minorEastAsia" w:hAnsi="Cambria Math" w:cstheme="majorBidi"/>
                    <w:sz w:val="24"/>
                    <w:szCs w:val="24"/>
                  </w:rPr>
                  <m:t>)</m:t>
                </m:r>
              </m:e>
              <m:sup>
                <m:r>
                  <m:rPr>
                    <m:sty m:val="p"/>
                  </m:rPr>
                  <w:rPr>
                    <w:rFonts w:ascii="Cambria Math" w:eastAsiaTheme="minorEastAsia" w:hAnsi="Cambria Math" w:cstheme="majorBidi"/>
                    <w:sz w:val="24"/>
                    <w:szCs w:val="24"/>
                  </w:rPr>
                  <m:t>x+a</m:t>
                </m:r>
              </m:sup>
            </m:sSup>
          </m:den>
        </m:f>
      </m:oMath>
    </w:p>
    <w:p w14:paraId="689A20BB" w14:textId="77777777" w:rsidR="00EE020B" w:rsidRPr="00431327" w:rsidRDefault="00EE020B" w:rsidP="00EE020B">
      <w:pPr>
        <w:spacing w:line="360" w:lineRule="auto"/>
        <w:jc w:val="both"/>
        <w:rPr>
          <w:rFonts w:asciiTheme="majorBidi" w:eastAsiaTheme="minorEastAsia" w:hAnsiTheme="majorBidi" w:cstheme="majorBidi"/>
          <w:sz w:val="24"/>
          <w:szCs w:val="24"/>
        </w:rPr>
      </w:pPr>
      <w:r w:rsidRPr="00097F4F">
        <w:rPr>
          <w:rFonts w:asciiTheme="majorBidi" w:eastAsiaTheme="minorEastAsia" w:hAnsiTheme="majorBidi" w:cstheme="majorBidi"/>
          <w:sz w:val="24"/>
          <w:szCs w:val="24"/>
        </w:rPr>
        <w:t xml:space="preserve">Equation 4.9: </w:t>
      </w:r>
      <w:r>
        <w:rPr>
          <w:rFonts w:asciiTheme="majorBidi" w:eastAsiaTheme="minorEastAsia" w:hAnsiTheme="majorBidi" w:cstheme="majorBidi"/>
          <w:sz w:val="24"/>
          <w:szCs w:val="24"/>
        </w:rPr>
        <w:t xml:space="preserve">         </w:t>
      </w:r>
      <m:oMath>
        <m:r>
          <m:rPr>
            <m:sty m:val="p"/>
          </m:rPr>
          <w:rPr>
            <w:rFonts w:ascii="Cambria Math" w:eastAsiaTheme="minorEastAsia" w:hAnsi="Cambria Math" w:cstheme="majorBidi"/>
            <w:sz w:val="24"/>
            <w:szCs w:val="24"/>
          </w:rPr>
          <m:t>Ln(f</m:t>
        </m:r>
        <m:d>
          <m:dPr>
            <m:ctrlPr>
              <w:rPr>
                <w:rFonts w:ascii="Cambria Math" w:eastAsiaTheme="minorEastAsia" w:hAnsi="Cambria Math" w:cstheme="majorBidi"/>
                <w:sz w:val="24"/>
                <w:szCs w:val="24"/>
              </w:rPr>
            </m:ctrlPr>
          </m:dPr>
          <m:e>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2</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k</m:t>
                </m:r>
              </m:sub>
            </m:sSub>
            <m:r>
              <m:rPr>
                <m:sty m:val="p"/>
              </m:rPr>
              <w:rPr>
                <w:rFonts w:ascii="Cambria Math" w:eastAsiaTheme="minorEastAsia" w:hAnsi="Cambria Math" w:cstheme="majorBidi"/>
                <w:sz w:val="24"/>
                <w:szCs w:val="24"/>
              </w:rPr>
              <m:t>)</m:t>
            </m:r>
          </m:e>
        </m:d>
        <m:r>
          <m:rPr>
            <m:sty m:val="p"/>
          </m:rPr>
          <w:rPr>
            <w:rFonts w:ascii="Cambria Math" w:eastAsiaTheme="minorEastAsia" w:hAnsi="Cambria Math" w:cstheme="majorBidi"/>
            <w:sz w:val="24"/>
            <w:szCs w:val="24"/>
          </w:rPr>
          <m:t>=aLn</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b</m:t>
            </m:r>
          </m:e>
        </m:d>
        <m:r>
          <m:rPr>
            <m:sty m:val="p"/>
          </m:rPr>
          <w:rPr>
            <w:rFonts w:ascii="Cambria Math" w:eastAsiaTheme="minorEastAsia" w:hAnsi="Cambria Math" w:cstheme="majorBidi"/>
            <w:sz w:val="24"/>
            <w:szCs w:val="24"/>
          </w:rPr>
          <m:t>+xLn</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E</m:t>
            </m:r>
          </m:e>
        </m:d>
        <m:r>
          <m:rPr>
            <m:sty m:val="p"/>
          </m:rPr>
          <w:rPr>
            <w:rFonts w:ascii="Cambria Math" w:eastAsiaTheme="minorEastAsia" w:hAnsi="Cambria Math" w:cstheme="majorBidi"/>
            <w:sz w:val="24"/>
            <w:szCs w:val="24"/>
          </w:rPr>
          <m:t>+Ln</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Γ</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x+a</m:t>
                </m:r>
              </m:e>
            </m:d>
          </m:e>
        </m:d>
        <m:r>
          <m:rPr>
            <m:sty m:val="p"/>
          </m:rPr>
          <w:rPr>
            <w:rFonts w:ascii="Cambria Math" w:eastAsiaTheme="minorEastAsia" w:hAnsi="Cambria Math" w:cstheme="majorBidi"/>
            <w:sz w:val="24"/>
            <w:szCs w:val="24"/>
          </w:rPr>
          <m:t>-Ln</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Γ</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a</m:t>
                </m:r>
              </m:e>
            </m:d>
          </m:e>
        </m:d>
        <m:r>
          <m:rPr>
            <m:sty m:val="p"/>
          </m:rPr>
          <w:rPr>
            <w:rFonts w:ascii="Cambria Math" w:eastAsiaTheme="minorEastAsia" w:hAnsi="Cambria Math" w:cstheme="majorBidi"/>
            <w:sz w:val="24"/>
            <w:szCs w:val="24"/>
          </w:rPr>
          <m:t>-Ln</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x!</m:t>
            </m:r>
          </m:e>
        </m:d>
        <m:r>
          <m:rPr>
            <m:sty m:val="p"/>
          </m:rPr>
          <w:rPr>
            <w:rFonts w:ascii="Cambria Math" w:eastAsiaTheme="minorEastAsia" w:hAnsi="Cambria Math" w:cstheme="majorBidi"/>
            <w:sz w:val="24"/>
            <w:szCs w:val="24"/>
          </w:rPr>
          <m:t>-</m:t>
        </m:r>
        <m:d>
          <m:dPr>
            <m:ctrlPr>
              <w:rPr>
                <w:rFonts w:ascii="Cambria Math" w:eastAsiaTheme="minorEastAsia" w:hAnsi="Cambria Math" w:cstheme="majorBidi"/>
                <w:sz w:val="24"/>
                <w:szCs w:val="24"/>
              </w:rPr>
            </m:ctrlPr>
          </m:dPr>
          <m:e>
            <m:r>
              <m:rPr>
                <m:sty m:val="p"/>
              </m:rPr>
              <w:rPr>
                <w:rFonts w:ascii="Cambria Math" w:eastAsiaTheme="minorEastAsia" w:hAnsi="Cambria Math" w:cstheme="majorBidi"/>
                <w:sz w:val="24"/>
                <w:szCs w:val="24"/>
              </w:rPr>
              <m:t>x+a</m:t>
            </m:r>
          </m:e>
        </m:d>
        <m:r>
          <m:rPr>
            <m:sty m:val="p"/>
          </m:rPr>
          <w:rPr>
            <w:rFonts w:ascii="Cambria Math" w:eastAsiaTheme="minorEastAsia" w:hAnsi="Cambria Math" w:cstheme="majorBidi"/>
            <w:sz w:val="24"/>
            <w:szCs w:val="24"/>
          </w:rPr>
          <m:t>Ln(b+E)</m:t>
        </m:r>
      </m:oMath>
    </w:p>
    <w:p w14:paraId="7BE688D6" w14:textId="77777777" w:rsidR="00EE020B" w:rsidRPr="00431327" w:rsidRDefault="00EE020B" w:rsidP="00EE020B">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]All we need to do is to start with an initial guess of a</w:t>
      </w:r>
      <w:r w:rsidRPr="00431327">
        <w:rPr>
          <w:rFonts w:asciiTheme="majorBidi" w:eastAsiaTheme="minorEastAsia" w:hAnsiTheme="majorBidi" w:cstheme="majorBidi"/>
          <w:sz w:val="24"/>
          <w:szCs w:val="24"/>
        </w:rPr>
        <w:t xml:space="preserve"> and b</w:t>
      </w:r>
      <w:r>
        <w:rPr>
          <w:rFonts w:asciiTheme="majorBidi" w:eastAsiaTheme="minorEastAsia" w:hAnsiTheme="majorBidi" w:cstheme="majorBidi"/>
          <w:sz w:val="24"/>
          <w:szCs w:val="24"/>
        </w:rPr>
        <w:t xml:space="preserve"> parameters and to calculate the log-likelihood function. Let’s start with </w:t>
      </w:r>
      <w:r w:rsidRPr="00431327">
        <w:rPr>
          <w:rFonts w:asciiTheme="majorBidi" w:eastAsiaTheme="minorEastAsia" w:hAnsiTheme="majorBidi" w:cstheme="majorBidi"/>
          <w:sz w:val="24"/>
          <w:szCs w:val="24"/>
        </w:rPr>
        <w:t>a=2, b=5. These values are entered into J5 to J7 cells in an Excel sheet (Figure 4.4). Using these initial values, log-likelihood function is constructed (Figure 4.5 top panel, Column F). We should now use Solver and maximize cell F17 by changing J</w:t>
      </w:r>
      <w:r>
        <w:rPr>
          <w:rFonts w:asciiTheme="majorBidi" w:eastAsiaTheme="minorEastAsia" w:hAnsiTheme="majorBidi" w:cstheme="majorBidi"/>
          <w:sz w:val="24"/>
          <w:szCs w:val="24"/>
        </w:rPr>
        <w:t>6</w:t>
      </w:r>
      <w:r w:rsidRPr="00431327">
        <w:rPr>
          <w:rFonts w:asciiTheme="majorBidi" w:eastAsiaTheme="minorEastAsia" w:hAnsiTheme="majorBidi" w:cstheme="majorBidi"/>
          <w:sz w:val="24"/>
          <w:szCs w:val="24"/>
        </w:rPr>
        <w:t xml:space="preserve"> and J</w:t>
      </w:r>
      <w:r>
        <w:rPr>
          <w:rFonts w:asciiTheme="majorBidi" w:eastAsiaTheme="minorEastAsia" w:hAnsiTheme="majorBidi" w:cstheme="majorBidi"/>
          <w:sz w:val="24"/>
          <w:szCs w:val="24"/>
        </w:rPr>
        <w:t>7</w:t>
      </w:r>
      <w:r w:rsidRPr="00431327">
        <w:rPr>
          <w:rFonts w:asciiTheme="majorBidi" w:eastAsiaTheme="minorEastAsia" w:hAnsiTheme="majorBidi" w:cstheme="majorBidi"/>
          <w:sz w:val="24"/>
          <w:szCs w:val="24"/>
        </w:rPr>
        <w:t xml:space="preserve"> cells (Figure 4.5 bottom panel).</w:t>
      </w:r>
    </w:p>
    <w:p w14:paraId="561C7C6B" w14:textId="77777777" w:rsidR="00EE020B" w:rsidRDefault="00EE020B" w:rsidP="00EE020B">
      <w:pPr>
        <w:rPr>
          <w:rFonts w:asciiTheme="majorBidi" w:eastAsiaTheme="minorEastAsia" w:hAnsiTheme="majorBidi" w:cstheme="majorBidi"/>
          <w:sz w:val="24"/>
          <w:szCs w:val="24"/>
        </w:rPr>
      </w:pPr>
      <w:r>
        <w:rPr>
          <w:rFonts w:asciiTheme="majorBidi" w:eastAsiaTheme="minorEastAsia" w:hAnsiTheme="majorBidi" w:cstheme="majorBidi"/>
          <w:sz w:val="24"/>
          <w:szCs w:val="24"/>
        </w:rPr>
        <w:t>Figure 4.5: Calculation of the Gamma-Poisson log-likelihood function (top panel) and maximization of this function (bottom panel)</w:t>
      </w:r>
    </w:p>
    <w:p w14:paraId="1DDDE652" w14:textId="77777777" w:rsidR="00EE020B" w:rsidRDefault="00EE020B" w:rsidP="00EE020B">
      <w:pPr>
        <w:rPr>
          <w:rFonts w:asciiTheme="majorBidi" w:eastAsiaTheme="minorEastAsia" w:hAnsiTheme="majorBidi" w:cstheme="majorBidi"/>
          <w:sz w:val="24"/>
          <w:szCs w:val="24"/>
        </w:rPr>
      </w:pPr>
      <w:r>
        <w:rPr>
          <w:noProof/>
          <w:lang w:val="en-AU" w:eastAsia="en-AU"/>
        </w:rPr>
        <w:drawing>
          <wp:inline distT="0" distB="0" distL="0" distR="0" wp14:anchorId="398DD7D7" wp14:editId="119E2C0C">
            <wp:extent cx="59436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4102" r="9775" b="27992"/>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64D99C46" w14:textId="77777777" w:rsidR="00EE020B" w:rsidRDefault="00EE020B" w:rsidP="00EE020B">
      <w:pPr>
        <w:rPr>
          <w:rFonts w:asciiTheme="majorBidi" w:eastAsiaTheme="minorEastAsia" w:hAnsiTheme="majorBidi" w:cstheme="majorBidi"/>
          <w:sz w:val="24"/>
          <w:szCs w:val="24"/>
        </w:rPr>
      </w:pPr>
    </w:p>
    <w:p w14:paraId="0B4D0406" w14:textId="77777777" w:rsidR="00EE020B" w:rsidRDefault="00EE020B" w:rsidP="00EE020B">
      <w:pPr>
        <w:rPr>
          <w:rFonts w:asciiTheme="majorBidi" w:eastAsiaTheme="minorEastAsia" w:hAnsiTheme="majorBidi" w:cstheme="majorBidi"/>
          <w:sz w:val="24"/>
          <w:szCs w:val="24"/>
        </w:rPr>
      </w:pPr>
      <w:r>
        <w:rPr>
          <w:noProof/>
          <w:lang w:val="en-AU" w:eastAsia="en-AU"/>
        </w:rPr>
        <w:lastRenderedPageBreak/>
        <w:drawing>
          <wp:inline distT="0" distB="0" distL="0" distR="0" wp14:anchorId="7C0C9322" wp14:editId="09758A33">
            <wp:extent cx="594360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308" r="21955" b="23077"/>
                    <a:stretch/>
                  </pic:blipFill>
                  <pic:spPr bwMode="auto">
                    <a:xfrm>
                      <a:off x="0" y="0"/>
                      <a:ext cx="5943600" cy="333375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eastAsiaTheme="minorEastAsia" w:hAnsiTheme="majorBidi" w:cstheme="majorBidi"/>
          <w:sz w:val="24"/>
          <w:szCs w:val="24"/>
        </w:rPr>
        <w:br w:type="page"/>
      </w:r>
    </w:p>
    <w:p w14:paraId="249FFE72" w14:textId="77777777" w:rsidR="00EE020B" w:rsidRDefault="00EE020B" w:rsidP="00EE020B">
      <w:pPr>
        <w:spacing w:line="360" w:lineRule="auto"/>
        <w:jc w:val="both"/>
        <w:rPr>
          <w:rFonts w:ascii="Times New Roman" w:hAnsi="Times New Roman" w:cs="Times New Roman"/>
          <w:color w:val="000000"/>
          <w:sz w:val="24"/>
          <w:szCs w:val="24"/>
        </w:rPr>
      </w:pPr>
      <w:r w:rsidRPr="00101952">
        <w:rPr>
          <w:rFonts w:ascii="Times New Roman" w:hAnsi="Times New Roman" w:cs="Times New Roman"/>
          <w:color w:val="000000"/>
          <w:sz w:val="24"/>
          <w:szCs w:val="24"/>
        </w:rPr>
        <w:lastRenderedPageBreak/>
        <w:t>Based on Solver solution, best estimates for both hyper-parameters are 8</w:t>
      </w:r>
      <w:r>
        <w:rPr>
          <w:rFonts w:ascii="Times New Roman" w:hAnsi="Times New Roman" w:cs="Times New Roman"/>
          <w:color w:val="000000"/>
          <w:sz w:val="24"/>
          <w:szCs w:val="24"/>
        </w:rPr>
        <w:t>.26 (a) and 8.16 (b)</w:t>
      </w:r>
      <w:r w:rsidRPr="00101952">
        <w:rPr>
          <w:rFonts w:ascii="Times New Roman" w:hAnsi="Times New Roman" w:cs="Times New Roman"/>
          <w:color w:val="000000"/>
          <w:sz w:val="24"/>
          <w:szCs w:val="24"/>
        </w:rPr>
        <w:t>.</w:t>
      </w:r>
      <w:r w:rsidRPr="00FF659A">
        <w:rPr>
          <w:rFonts w:ascii="Times New Roman" w:hAnsi="Times New Roman" w:cs="Times New Roman"/>
          <w:color w:val="000000"/>
          <w:sz w:val="24"/>
          <w:szCs w:val="24"/>
        </w:rPr>
        <w:t xml:space="preserve"> Using these values, </w:t>
      </w:r>
      <w:r>
        <w:rPr>
          <w:rFonts w:ascii="Times New Roman" w:hAnsi="Times New Roman" w:cs="Times New Roman"/>
          <w:color w:val="000000"/>
          <w:sz w:val="24"/>
          <w:szCs w:val="24"/>
        </w:rPr>
        <w:t>SMR values are updated (Column G, Figure 4.6). Now, the variance is much lower, and the minimum and maximum values are 0.65 and 1.77.</w:t>
      </w:r>
    </w:p>
    <w:p w14:paraId="28F131F5" w14:textId="039649C8" w:rsidR="00EE020B" w:rsidRDefault="00EE020B" w:rsidP="00EE020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Figure 4.6: Calculation of the posterior SMR values</w:t>
      </w:r>
    </w:p>
    <w:p w14:paraId="37993002" w14:textId="77777777" w:rsidR="00BB42AF" w:rsidRDefault="00BB42AF" w:rsidP="00EE020B">
      <w:pPr>
        <w:spacing w:line="360" w:lineRule="auto"/>
        <w:jc w:val="both"/>
        <w:rPr>
          <w:rFonts w:ascii="Times New Roman" w:hAnsi="Times New Roman" w:cs="Times New Roman"/>
          <w:color w:val="000000"/>
          <w:sz w:val="24"/>
          <w:szCs w:val="24"/>
        </w:rPr>
      </w:pPr>
    </w:p>
    <w:p w14:paraId="481655FA" w14:textId="77777777" w:rsidR="00EE020B" w:rsidRDefault="00EE020B" w:rsidP="00EE020B">
      <w:pPr>
        <w:rPr>
          <w:rFonts w:ascii="Times New Roman" w:hAnsi="Times New Roman" w:cs="Times New Roman"/>
          <w:color w:val="000000"/>
          <w:sz w:val="24"/>
          <w:szCs w:val="24"/>
        </w:rPr>
      </w:pPr>
      <w:r>
        <w:rPr>
          <w:noProof/>
          <w:lang w:val="en-AU" w:eastAsia="en-AU"/>
        </w:rPr>
        <w:drawing>
          <wp:inline distT="0" distB="0" distL="0" distR="0" wp14:anchorId="7D4369F7" wp14:editId="1E4525B7">
            <wp:extent cx="59531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4103" r="21795" b="26709"/>
                    <a:stretch/>
                  </pic:blipFill>
                  <pic:spPr bwMode="auto">
                    <a:xfrm>
                      <a:off x="0" y="0"/>
                      <a:ext cx="5953125" cy="37814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r w:rsidRPr="00FF659A">
        <w:rPr>
          <w:rFonts w:ascii="Times New Roman" w:hAnsi="Times New Roman" w:cs="Times New Roman"/>
          <w:color w:val="000000"/>
          <w:sz w:val="24"/>
          <w:szCs w:val="24"/>
        </w:rPr>
        <w:t xml:space="preserve"> </w:t>
      </w:r>
      <w:r w:rsidRPr="00FF659A">
        <w:rPr>
          <w:rFonts w:ascii="Times New Roman" w:hAnsi="Times New Roman" w:cs="Times New Roman"/>
          <w:color w:val="000000"/>
          <w:sz w:val="24"/>
          <w:szCs w:val="24"/>
        </w:rPr>
        <w:br w:type="page"/>
      </w:r>
    </w:p>
    <w:p w14:paraId="29607E60" w14:textId="77777777" w:rsidR="00643BD7" w:rsidRDefault="00AD01A1"/>
    <w:sectPr w:rsidR="00643BD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262EB" w14:textId="77777777" w:rsidR="00BB42AF" w:rsidRDefault="00BB42AF" w:rsidP="00BB42AF">
      <w:pPr>
        <w:spacing w:after="0" w:line="240" w:lineRule="auto"/>
      </w:pPr>
      <w:r>
        <w:separator/>
      </w:r>
    </w:p>
  </w:endnote>
  <w:endnote w:type="continuationSeparator" w:id="0">
    <w:p w14:paraId="05081F27" w14:textId="77777777" w:rsidR="00BB42AF" w:rsidRDefault="00BB42AF" w:rsidP="00BB4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507928"/>
      <w:docPartObj>
        <w:docPartGallery w:val="Page Numbers (Bottom of Page)"/>
        <w:docPartUnique/>
      </w:docPartObj>
    </w:sdtPr>
    <w:sdtEndPr>
      <w:rPr>
        <w:noProof/>
      </w:rPr>
    </w:sdtEndPr>
    <w:sdtContent>
      <w:p w14:paraId="27C39933" w14:textId="69CEF9F3" w:rsidR="00BB42AF" w:rsidRDefault="00BB42AF">
        <w:pPr>
          <w:pStyle w:val="Footer"/>
          <w:jc w:val="right"/>
        </w:pPr>
        <w:r>
          <w:fldChar w:fldCharType="begin"/>
        </w:r>
        <w:r>
          <w:instrText xml:space="preserve"> PAGE   \* MERGEFORMAT </w:instrText>
        </w:r>
        <w:r>
          <w:fldChar w:fldCharType="separate"/>
        </w:r>
        <w:r w:rsidR="00AD01A1">
          <w:rPr>
            <w:noProof/>
          </w:rPr>
          <w:t>10</w:t>
        </w:r>
        <w:r>
          <w:rPr>
            <w:noProof/>
          </w:rPr>
          <w:fldChar w:fldCharType="end"/>
        </w:r>
      </w:p>
    </w:sdtContent>
  </w:sdt>
  <w:p w14:paraId="7B903CF9" w14:textId="77777777" w:rsidR="00BB42AF" w:rsidRDefault="00BB4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93518" w14:textId="77777777" w:rsidR="00BB42AF" w:rsidRDefault="00BB42AF" w:rsidP="00BB42AF">
      <w:pPr>
        <w:spacing w:after="0" w:line="240" w:lineRule="auto"/>
      </w:pPr>
      <w:r>
        <w:separator/>
      </w:r>
    </w:p>
  </w:footnote>
  <w:footnote w:type="continuationSeparator" w:id="0">
    <w:p w14:paraId="448A0411" w14:textId="77777777" w:rsidR="00BB42AF" w:rsidRDefault="00BB42AF" w:rsidP="00BB4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659A4"/>
    <w:multiLevelType w:val="multilevel"/>
    <w:tmpl w:val="B8809714"/>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1260"/>
        </w:tabs>
      </w:pPr>
      <w:rPr>
        <w:rFonts w:cs="Times New Roman" w:hint="default"/>
      </w:rPr>
    </w:lvl>
    <w:lvl w:ilvl="3">
      <w:start w:val="1"/>
      <w:numFmt w:val="decimal"/>
      <w:pStyle w:val="Heading4"/>
      <w:lvlText w:val="%1.%2.%3.%4"/>
      <w:lvlJc w:val="left"/>
      <w:pPr>
        <w:tabs>
          <w:tab w:val="num" w:pos="0"/>
        </w:tabs>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20B"/>
    <w:rsid w:val="0019610F"/>
    <w:rsid w:val="009318E3"/>
    <w:rsid w:val="00AD01A1"/>
    <w:rsid w:val="00B945E0"/>
    <w:rsid w:val="00BB42AF"/>
    <w:rsid w:val="00EE020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3FE99"/>
  <w15:chartTrackingRefBased/>
  <w15:docId w15:val="{374116FB-918A-4546-8E2C-FF85354B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20B"/>
    <w:pPr>
      <w:spacing w:after="200" w:line="276" w:lineRule="auto"/>
    </w:pPr>
    <w:rPr>
      <w:lang w:val="en-US"/>
    </w:rPr>
  </w:style>
  <w:style w:type="paragraph" w:styleId="Heading1">
    <w:name w:val="heading 1"/>
    <w:basedOn w:val="Normal"/>
    <w:next w:val="Normal"/>
    <w:link w:val="Heading1Char"/>
    <w:uiPriority w:val="9"/>
    <w:qFormat/>
    <w:rsid w:val="00EE020B"/>
    <w:pPr>
      <w:keepNext/>
      <w:numPr>
        <w:numId w:val="1"/>
      </w:numPr>
      <w:bidi/>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qFormat/>
    <w:rsid w:val="00EE020B"/>
    <w:pPr>
      <w:keepNext/>
      <w:numPr>
        <w:ilvl w:val="1"/>
        <w:numId w:val="1"/>
      </w:numPr>
      <w:bidi/>
      <w:spacing w:before="240" w:after="60" w:line="240" w:lineRule="auto"/>
      <w:outlineLvl w:val="1"/>
    </w:pPr>
    <w:rPr>
      <w:rFonts w:ascii="Arial" w:eastAsia="Times New Roman" w:hAnsi="Arial" w:cs="Arial"/>
      <w:b/>
      <w:iCs/>
      <w:sz w:val="28"/>
      <w:szCs w:val="28"/>
    </w:rPr>
  </w:style>
  <w:style w:type="paragraph" w:styleId="Heading3">
    <w:name w:val="heading 3"/>
    <w:basedOn w:val="Normal"/>
    <w:next w:val="Normal"/>
    <w:link w:val="Heading3Char"/>
    <w:uiPriority w:val="9"/>
    <w:qFormat/>
    <w:rsid w:val="00EE020B"/>
    <w:pPr>
      <w:keepNext/>
      <w:numPr>
        <w:ilvl w:val="2"/>
        <w:numId w:val="1"/>
      </w:numPr>
      <w:tabs>
        <w:tab w:val="clear" w:pos="1260"/>
        <w:tab w:val="num" w:pos="0"/>
      </w:tabs>
      <w:bidi/>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qFormat/>
    <w:rsid w:val="00EE020B"/>
    <w:pPr>
      <w:keepNext/>
      <w:numPr>
        <w:ilvl w:val="3"/>
        <w:numId w:val="1"/>
      </w:numPr>
      <w:bidi/>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qFormat/>
    <w:rsid w:val="00EE020B"/>
    <w:pPr>
      <w:numPr>
        <w:ilvl w:val="4"/>
        <w:numId w:val="1"/>
      </w:numPr>
      <w:bidi/>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uiPriority w:val="99"/>
    <w:qFormat/>
    <w:rsid w:val="00EE020B"/>
    <w:pPr>
      <w:numPr>
        <w:ilvl w:val="5"/>
        <w:numId w:val="1"/>
      </w:numPr>
      <w:bidi/>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9"/>
    <w:qFormat/>
    <w:rsid w:val="00EE020B"/>
    <w:pPr>
      <w:numPr>
        <w:ilvl w:val="6"/>
        <w:numId w:val="1"/>
      </w:numPr>
      <w:bidi/>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iPriority w:val="99"/>
    <w:qFormat/>
    <w:rsid w:val="00EE020B"/>
    <w:pPr>
      <w:numPr>
        <w:ilvl w:val="7"/>
        <w:numId w:val="1"/>
      </w:numPr>
      <w:bidi/>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iPriority w:val="99"/>
    <w:qFormat/>
    <w:rsid w:val="00EE020B"/>
    <w:pPr>
      <w:numPr>
        <w:ilvl w:val="8"/>
        <w:numId w:val="1"/>
      </w:numPr>
      <w:bidi/>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20B"/>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9"/>
    <w:rsid w:val="00EE020B"/>
    <w:rPr>
      <w:rFonts w:ascii="Arial" w:eastAsia="Times New Roman" w:hAnsi="Arial" w:cs="Arial"/>
      <w:b/>
      <w:iCs/>
      <w:sz w:val="28"/>
      <w:szCs w:val="28"/>
      <w:lang w:val="en-US"/>
    </w:rPr>
  </w:style>
  <w:style w:type="character" w:customStyle="1" w:styleId="Heading3Char">
    <w:name w:val="Heading 3 Char"/>
    <w:basedOn w:val="DefaultParagraphFont"/>
    <w:link w:val="Heading3"/>
    <w:uiPriority w:val="9"/>
    <w:rsid w:val="00EE020B"/>
    <w:rPr>
      <w:rFonts w:ascii="Arial" w:eastAsia="Times New Roman" w:hAnsi="Arial" w:cs="Arial"/>
      <w:b/>
      <w:bCs/>
      <w:sz w:val="26"/>
      <w:szCs w:val="26"/>
      <w:lang w:val="en-US"/>
    </w:rPr>
  </w:style>
  <w:style w:type="character" w:customStyle="1" w:styleId="Heading4Char">
    <w:name w:val="Heading 4 Char"/>
    <w:basedOn w:val="DefaultParagraphFont"/>
    <w:link w:val="Heading4"/>
    <w:uiPriority w:val="9"/>
    <w:rsid w:val="00EE020B"/>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9"/>
    <w:rsid w:val="00EE020B"/>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uiPriority w:val="99"/>
    <w:rsid w:val="00EE020B"/>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9"/>
    <w:rsid w:val="00EE020B"/>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uiPriority w:val="99"/>
    <w:rsid w:val="00EE020B"/>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uiPriority w:val="99"/>
    <w:rsid w:val="00EE020B"/>
    <w:rPr>
      <w:rFonts w:ascii="Arial" w:eastAsia="Times New Roman" w:hAnsi="Arial" w:cs="Arial"/>
      <w:lang w:val="en-US"/>
    </w:rPr>
  </w:style>
  <w:style w:type="character" w:styleId="CommentReference">
    <w:name w:val="annotation reference"/>
    <w:basedOn w:val="DefaultParagraphFont"/>
    <w:uiPriority w:val="99"/>
    <w:semiHidden/>
    <w:rsid w:val="00EE020B"/>
    <w:rPr>
      <w:rFonts w:cs="Times New Roman"/>
      <w:sz w:val="16"/>
      <w:szCs w:val="16"/>
    </w:rPr>
  </w:style>
  <w:style w:type="paragraph" w:styleId="CommentText">
    <w:name w:val="annotation text"/>
    <w:basedOn w:val="Normal"/>
    <w:link w:val="CommentTextChar"/>
    <w:uiPriority w:val="99"/>
    <w:rsid w:val="00EE020B"/>
    <w:pPr>
      <w:spacing w:line="240" w:lineRule="auto"/>
    </w:pPr>
    <w:rPr>
      <w:rFonts w:ascii="Calibri" w:eastAsia="Times New Roman" w:hAnsi="Calibri" w:cs="Arial"/>
      <w:sz w:val="20"/>
      <w:szCs w:val="20"/>
    </w:rPr>
  </w:style>
  <w:style w:type="character" w:customStyle="1" w:styleId="CommentTextChar">
    <w:name w:val="Comment Text Char"/>
    <w:basedOn w:val="DefaultParagraphFont"/>
    <w:link w:val="CommentText"/>
    <w:uiPriority w:val="99"/>
    <w:rsid w:val="00EE020B"/>
    <w:rPr>
      <w:rFonts w:ascii="Calibri" w:eastAsia="Times New Roman" w:hAnsi="Calibri" w:cs="Arial"/>
      <w:sz w:val="20"/>
      <w:szCs w:val="20"/>
      <w:lang w:val="en-US"/>
    </w:rPr>
  </w:style>
  <w:style w:type="table" w:styleId="TableGrid">
    <w:name w:val="Table Grid"/>
    <w:basedOn w:val="TableNormal"/>
    <w:uiPriority w:val="59"/>
    <w:rsid w:val="00EE020B"/>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EE020B"/>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E02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20B"/>
    <w:rPr>
      <w:rFonts w:ascii="Segoe UI" w:hAnsi="Segoe UI" w:cs="Segoe UI"/>
      <w:sz w:val="18"/>
      <w:szCs w:val="18"/>
      <w:lang w:val="en-US"/>
    </w:rPr>
  </w:style>
  <w:style w:type="paragraph" w:styleId="Header">
    <w:name w:val="header"/>
    <w:basedOn w:val="Normal"/>
    <w:link w:val="HeaderChar"/>
    <w:uiPriority w:val="99"/>
    <w:unhideWhenUsed/>
    <w:rsid w:val="00BB42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2AF"/>
    <w:rPr>
      <w:lang w:val="en-US"/>
    </w:rPr>
  </w:style>
  <w:style w:type="paragraph" w:styleId="Footer">
    <w:name w:val="footer"/>
    <w:basedOn w:val="Normal"/>
    <w:link w:val="FooterChar"/>
    <w:uiPriority w:val="99"/>
    <w:unhideWhenUsed/>
    <w:rsid w:val="00BB42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2A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547557">
      <w:bodyDiv w:val="1"/>
      <w:marLeft w:val="0"/>
      <w:marRight w:val="0"/>
      <w:marTop w:val="0"/>
      <w:marBottom w:val="0"/>
      <w:divBdr>
        <w:top w:val="none" w:sz="0" w:space="0" w:color="auto"/>
        <w:left w:val="none" w:sz="0" w:space="0" w:color="auto"/>
        <w:bottom w:val="none" w:sz="0" w:space="0" w:color="auto"/>
        <w:right w:val="none" w:sz="0" w:space="0" w:color="auto"/>
      </w:divBdr>
    </w:div>
    <w:div w:id="156829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Baneshi</dc:creator>
  <cp:keywords/>
  <dc:description/>
  <cp:lastModifiedBy>Reza Baneshi</cp:lastModifiedBy>
  <cp:revision>3</cp:revision>
  <dcterms:created xsi:type="dcterms:W3CDTF">2021-03-28T23:46:00Z</dcterms:created>
  <dcterms:modified xsi:type="dcterms:W3CDTF">2021-03-29T00:30:00Z</dcterms:modified>
</cp:coreProperties>
</file>