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Community resource mapping survey should be included in the dashboard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When creating the dashboard we have figure out a meaningful way to aggregate the data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maturity assessment is what we are using to assess the stages of development for each community and then take that scoring to create an appropriate plan for moving the community forward in different stages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Don’t know yet which parts of surveys should be prioritized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Can clone each survey - Claude will be helpful for this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Can create dummy data by asking claude/chatgpt to create random variations for the purpose of a dashboard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Community Resource Mapping Survey has example of completed surveys for reference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Add the names of the agents/changemakers in the form as one of our action items before next meeting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Go ahead with plan of cloning surveys Cedric will let us know if anything major changes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Next week deliverable: Have all the dummy data for the surveys(?)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Real data will be tricking in during the next few weeks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Deliverables for next week is: dummy data for survey, brainstorm best way to visually show this data to help the community/farmer/donor,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Bruck, Rish, Yosef, Ildreed, Demetrios, Scott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