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Weighting Issue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MDR will do an outlier analysis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127 cases AIAN that were outliers (in terms of income and nulliparous)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of breakdown in postpartum survey by race/ethnicity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Seems like sufficient sample of black people 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Citations</w:t>
      </w:r>
      <w:r w:rsidDel="00000000" w:rsidR="00000000" w:rsidRPr="00000000">
        <w:rPr>
          <w:rtl w:val="0"/>
        </w:rPr>
        <w:t xml:space="preserve">: </w:t>
        <w:br w:type="textWrapping"/>
        <w:t xml:space="preserve">DOI numbers for every source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End notes for citations, footnotes for comments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Validation studies of women’s recall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Comparing our data to birth certificate data (and PRAMS and MEHA)?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What do we think is more accurate, aligns with PRAMS and MEHA?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PRAMS, MEHA, and LTM postpartum visit % better than ICD/billing reports for medicaid/public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Recall of birth experience trend to more positive? Esp. given time lag?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Penny simkin – experience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