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Default Extension="fntdata" ContentType="application/x-fontdata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media/image1.png" ContentType="image/png"/>
  <Override PartName="/word/settings.xml" ContentType="application/vnd.openxmlformats-officedocument.wordprocessingml.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word/_rels/document.xml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_rels/.rels" ContentType="application/vnd.openxmlformats-package.relationship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Citaenbloque"/>
        <w:bidi w:val="0"/>
        <w:spacing w:before="0" w:after="283"/>
        <w:ind w:hanging="0" w:left="567" w:right="567"/>
        <w:jc w:val="left"/>
        <w:rPr>
          <w:rStyle w:val="Strong"/>
        </w:rPr>
      </w:pPr>
      <w:r>
        <w:rPr/>
        <w:drawing>
          <wp:anchor behindDoc="0" distT="0" distB="0" distL="0" distR="0" simplePos="0" locked="0" layoutInCell="0" allowOverlap="1" relativeHeight="2">
            <wp:simplePos x="0" y="0"/>
            <wp:positionH relativeFrom="column">
              <wp:posOffset>29845</wp:posOffset>
            </wp:positionH>
            <wp:positionV relativeFrom="paragraph">
              <wp:posOffset>19685</wp:posOffset>
            </wp:positionV>
            <wp:extent cx="3359150" cy="1533525"/>
            <wp:effectExtent l="0" t="0" r="0" b="0"/>
            <wp:wrapSquare wrapText="largest"/>
            <wp:docPr id="1" name="Imagen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n1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rcRect l="0" t="0" r="1427" b="1407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359150" cy="153352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>
      <w:pPr>
        <w:pStyle w:val="Citaenbloque"/>
        <w:bidi w:val="0"/>
        <w:spacing w:before="0" w:after="283"/>
        <w:ind w:hanging="0" w:left="567" w:right="567"/>
        <w:jc w:val="left"/>
        <w:rPr>
          <w:rStyle w:val="Strong"/>
        </w:rPr>
      </w:pPr>
      <w:r>
        <w:rPr/>
      </w:r>
    </w:p>
    <w:p>
      <w:pPr>
        <w:pStyle w:val="Citaenbloque"/>
        <w:bidi w:val="0"/>
        <w:spacing w:before="0" w:after="283"/>
        <w:ind w:hanging="0" w:left="567" w:right="567"/>
        <w:jc w:val="left"/>
        <w:rPr>
          <w:rStyle w:val="Strong"/>
        </w:rPr>
      </w:pPr>
      <w:r>
        <w:rPr/>
      </w:r>
    </w:p>
    <w:p>
      <w:pPr>
        <w:pStyle w:val="Citaenbloque"/>
        <w:bidi w:val="0"/>
        <w:spacing w:before="0" w:after="283"/>
        <w:ind w:hanging="0" w:left="567" w:right="567"/>
        <w:jc w:val="left"/>
        <w:rPr>
          <w:rStyle w:val="Strong"/>
        </w:rPr>
      </w:pPr>
      <w:r>
        <w:rPr/>
        <mc:AlternateContent>
          <mc:Choice Requires="wps">
            <w:drawing>
              <wp:anchor behindDoc="0" distT="0" distB="0" distL="0" distR="0" simplePos="0" locked="0" layoutInCell="1" allowOverlap="1" relativeHeight="3">
                <wp:simplePos x="0" y="0"/>
                <wp:positionH relativeFrom="column">
                  <wp:posOffset>2349500</wp:posOffset>
                </wp:positionH>
                <wp:positionV relativeFrom="paragraph">
                  <wp:posOffset>48260</wp:posOffset>
                </wp:positionV>
                <wp:extent cx="356870" cy="356870"/>
                <wp:effectExtent l="635" t="635" r="1270" b="1270"/>
                <wp:wrapNone/>
                <wp:docPr id="2" name="Forma 1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356760" cy="356760"/>
                        </a:xfrm>
                        <a:prstGeom prst="ellipse">
                          <a:avLst/>
                        </a:prstGeom>
                        <a:solidFill>
                          <a:srgbClr val="ffffff"/>
                        </a:solidFill>
                        <a:ln w="0">
                          <a:solidFill>
                            <a:srgbClr val="ffffff"/>
                          </a:solidFill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oval id="shape_0" ID="Forma 1" fillcolor="white" stroked="t" o:allowincell="f" style="position:absolute;margin-left:185pt;margin-top:3.8pt;width:28.05pt;height:28.05pt;mso-wrap-style:none;v-text-anchor:middle">
                <v:fill o:detectmouseclick="t" color2="black"/>
                <v:stroke color="white" joinstyle="round" endcap="flat"/>
                <w10:wrap type="none"/>
              </v:oval>
            </w:pict>
          </mc:Fallback>
        </mc:AlternateContent>
      </w:r>
    </w:p>
    <w:p>
      <w:pPr>
        <w:pStyle w:val="Citaenbloque"/>
        <w:bidi w:val="0"/>
        <w:spacing w:before="0" w:after="283"/>
        <w:ind w:hanging="0" w:left="567" w:right="567"/>
        <w:jc w:val="left"/>
        <w:rPr>
          <w:rStyle w:val="Strong"/>
        </w:rPr>
      </w:pPr>
      <w:r>
        <w:rPr/>
      </w:r>
    </w:p>
    <w:p>
      <w:pPr>
        <w:pStyle w:val="Citaenbloque"/>
        <w:bidi w:val="0"/>
        <w:jc w:val="center"/>
        <w:rPr>
          <w:rStyle w:val="Strong"/>
        </w:rPr>
      </w:pPr>
      <w:r>
        <w:rPr/>
      </w:r>
    </w:p>
    <w:p>
      <w:pPr>
        <w:pStyle w:val="Citaenbloque"/>
        <w:bidi w:val="0"/>
        <w:jc w:val="center"/>
        <w:rPr/>
      </w:pPr>
      <w:r>
        <w:rPr>
          <w:rStyle w:val="Strong"/>
          <w:sz w:val="36"/>
          <w:szCs w:val="36"/>
        </w:rPr>
        <w:t>Ayuntamiento de Maó – Servicio de Recaudación</w:t>
      </w:r>
    </w:p>
    <w:p>
      <w:pPr>
        <w:pStyle w:val="BodyText"/>
        <w:bidi w:val="0"/>
        <w:spacing w:lineRule="auto" w:line="276" w:before="0" w:after="140"/>
        <w:jc w:val="left"/>
        <w:rPr>
          <w:rStyle w:val="Strong"/>
        </w:rPr>
      </w:pPr>
      <w:r>
        <w:rPr/>
      </w:r>
    </w:p>
    <w:p>
      <w:pPr>
        <w:pStyle w:val="Citaenbloque"/>
        <w:bidi w:val="0"/>
        <w:jc w:val="both"/>
        <w:rPr/>
      </w:pPr>
      <w:r>
        <w:rPr/>
        <w:t xml:space="preserve">Se informa a los contribuyentes que el </w:t>
      </w:r>
      <w:r>
        <w:rPr>
          <w:rStyle w:val="Strong"/>
        </w:rPr>
        <w:t>plazo para abonar el recibo del IBI</w:t>
      </w:r>
      <w:r>
        <w:rPr/>
        <w:t xml:space="preserve"> correspondiente al ejercicio 2025 finaliza el </w:t>
      </w:r>
      <w:r>
        <w:rPr>
          <w:rStyle w:val="Strong"/>
        </w:rPr>
        <w:t>30 de abril</w:t>
      </w:r>
      <w:r>
        <w:rPr/>
        <w:t>.</w:t>
      </w:r>
    </w:p>
    <w:p>
      <w:pPr>
        <w:pStyle w:val="Citaenbloque"/>
        <w:bidi w:val="0"/>
        <w:jc w:val="both"/>
        <w:rPr/>
      </w:pPr>
      <w:r>
        <w:rPr/>
      </w:r>
    </w:p>
    <w:p>
      <w:pPr>
        <w:pStyle w:val="Citaenbloque"/>
        <w:bidi w:val="0"/>
        <w:jc w:val="both"/>
        <w:rPr/>
      </w:pPr>
      <w:r>
        <w:rPr/>
        <w:t>Los pagos pueden realizarse:</w:t>
      </w:r>
    </w:p>
    <w:p>
      <w:pPr>
        <w:pStyle w:val="Citaenbloque"/>
        <w:numPr>
          <w:ilvl w:val="0"/>
          <w:numId w:val="1"/>
        </w:numPr>
        <w:tabs>
          <w:tab w:val="clear" w:pos="709"/>
          <w:tab w:val="left" w:pos="1276" w:leader="none"/>
        </w:tabs>
        <w:bidi w:val="0"/>
        <w:ind w:hanging="283" w:left="1276"/>
        <w:jc w:val="both"/>
        <w:rPr/>
      </w:pPr>
      <w:r>
        <w:rPr/>
        <w:t>En las entidades bancarias colaboradoras.</w:t>
      </w:r>
    </w:p>
    <w:p>
      <w:pPr>
        <w:pStyle w:val="Citaenbloque"/>
        <w:numPr>
          <w:ilvl w:val="0"/>
          <w:numId w:val="1"/>
        </w:numPr>
        <w:tabs>
          <w:tab w:val="clear" w:pos="709"/>
          <w:tab w:val="left" w:pos="1276" w:leader="none"/>
        </w:tabs>
        <w:bidi w:val="0"/>
        <w:ind w:hanging="283" w:left="1276"/>
        <w:jc w:val="both"/>
        <w:rPr/>
      </w:pPr>
      <w:r>
        <w:rPr/>
        <w:t>A través de la sede electrónica del Ayuntamiento.</w:t>
      </w:r>
    </w:p>
    <w:p>
      <w:pPr>
        <w:pStyle w:val="Citaenbloque"/>
        <w:bidi w:val="0"/>
        <w:jc w:val="both"/>
        <w:rPr/>
      </w:pPr>
      <w:r>
        <w:rPr/>
        <w:t>Pasada esa fecha, se aplicarán los recargos previstos por ley.</w:t>
      </w:r>
    </w:p>
    <w:p>
      <w:pPr>
        <w:pStyle w:val="Citaenbloque"/>
        <w:bidi w:val="0"/>
        <w:jc w:val="both"/>
        <w:rPr/>
      </w:pPr>
      <w:r>
        <w:rPr/>
      </w:r>
    </w:p>
    <w:p>
      <w:pPr>
        <w:pStyle w:val="Citaenbloque"/>
        <w:bidi w:val="0"/>
        <w:jc w:val="both"/>
        <w:rPr/>
      </w:pPr>
      <w:r>
        <w:rPr/>
        <w:t>Maó, 5 de marzo de 2025</w:t>
      </w:r>
    </w:p>
    <w:p>
      <w:pPr>
        <w:pStyle w:val="Normal"/>
        <w:bidi w:val="0"/>
        <w:jc w:val="left"/>
        <w:rPr/>
      </w:pPr>
      <w:r>
        <w:rPr/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  <w:docGrid w:type="default" w:linePitch="600" w:charSpace="32768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OpenSymbol">
    <w:altName w:val="Arial Unicode MS"/>
    <w:charset w:val="02"/>
    <w:family w:val="auto"/>
    <w:pitch w:val="default"/>
  </w:font>
  <w:font w:name="Liberation Sans">
    <w:altName w:val="Arial"/>
    <w:charset w:val="00"/>
    <w:family w:val="swiss"/>
    <w:pitch w:val="variable"/>
  </w:font>
  <w:font w:name="Symbol">
    <w:charset w:val="02"/>
    <w:family w:val="auto"/>
    <w:pitch w:val="default"/>
  </w:font>
</w:fonts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numFmt w:val="bullet"/>
      <w:lvlText w:val=""/>
      <w:lvlJc w:val="left"/>
      <w:pPr>
        <w:tabs>
          <w:tab w:val="num" w:pos="709"/>
        </w:tabs>
        <w:ind w:lef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2">
    <w:lvl w:ilvl="0">
      <w:start w:val="1"/>
      <w:numFmt w:val="none"/>
      <w:suff w:val="nothing"/>
      <w:lvlText w:val="%1"/>
      <w:lvlJc w:val="left"/>
      <w:pPr>
        <w:tabs>
          <w:tab w:val="num" w:pos="0"/>
        </w:tabs>
        <w:ind w:left="0" w:hanging="0"/>
      </w:pPr>
    </w:lvl>
    <w:lvl w:ilvl="1">
      <w:start w:val="1"/>
      <w:numFmt w:val="none"/>
      <w:suff w:val="nothing"/>
      <w:lvlText w:val="%2"/>
      <w:lvlJc w:val="left"/>
      <w:pPr>
        <w:tabs>
          <w:tab w:val="num" w:pos="0"/>
        </w:tabs>
        <w:ind w:left="0" w:hanging="0"/>
      </w:pPr>
    </w:lvl>
    <w:lvl w:ilvl="2">
      <w:start w:val="1"/>
      <w:numFmt w:val="none"/>
      <w:suff w:val="nothing"/>
      <w:lvlText w:val="%3"/>
      <w:lvlJc w:val="left"/>
      <w:pPr>
        <w:tabs>
          <w:tab w:val="num" w:pos="0"/>
        </w:tabs>
        <w:ind w:left="0" w:hanging="0"/>
      </w:pPr>
    </w:lvl>
    <w:lvl w:ilvl="3">
      <w:start w:val="1"/>
      <w:numFmt w:val="none"/>
      <w:suff w:val="nothing"/>
      <w:lvlText w:val="%4"/>
      <w:lvlJc w:val="left"/>
      <w:pPr>
        <w:tabs>
          <w:tab w:val="num" w:pos="0"/>
        </w:tabs>
        <w:ind w:left="0" w:hanging="0"/>
      </w:pPr>
    </w:lvl>
    <w:lvl w:ilvl="4">
      <w:start w:val="1"/>
      <w:numFmt w:val="none"/>
      <w:suff w:val="nothing"/>
      <w:lvlText w:val="%5"/>
      <w:lvlJc w:val="left"/>
      <w:pPr>
        <w:tabs>
          <w:tab w:val="num" w:pos="0"/>
        </w:tabs>
        <w:ind w:left="0" w:hanging="0"/>
      </w:pPr>
    </w:lvl>
    <w:lvl w:ilvl="5">
      <w:start w:val="1"/>
      <w:numFmt w:val="none"/>
      <w:suff w:val="nothing"/>
      <w:lvlText w:val="%6"/>
      <w:lvlJc w:val="left"/>
      <w:pPr>
        <w:tabs>
          <w:tab w:val="num" w:pos="0"/>
        </w:tabs>
        <w:ind w:left="0" w:hanging="0"/>
      </w:pPr>
    </w:lvl>
    <w:lvl w:ilvl="6">
      <w:start w:val="1"/>
      <w:numFmt w:val="none"/>
      <w:suff w:val="nothing"/>
      <w:lvlText w:val="%7"/>
      <w:lvlJc w:val="left"/>
      <w:pPr>
        <w:tabs>
          <w:tab w:val="num" w:pos="0"/>
        </w:tabs>
        <w:ind w:left="0" w:hanging="0"/>
      </w:pPr>
    </w:lvl>
    <w:lvl w:ilvl="7">
      <w:start w:val="1"/>
      <w:numFmt w:val="none"/>
      <w:suff w:val="nothing"/>
      <w:lvlText w:val="%8"/>
      <w:lvlJc w:val="left"/>
      <w:pPr>
        <w:tabs>
          <w:tab w:val="num" w:pos="0"/>
        </w:tabs>
        <w:ind w:left="0" w:hanging="0"/>
      </w:pPr>
    </w:lvl>
    <w:lvl w:ilvl="8">
      <w:start w:val="1"/>
      <w:numFmt w:val="none"/>
      <w:suff w:val="nothing"/>
      <w:lvlText w:val="%9"/>
      <w:lvlJc w:val="left"/>
      <w:pPr>
        <w:tabs>
          <w:tab w:val="num" w:pos="0"/>
        </w:tabs>
        <w:ind w:left="0" w:hanging="0"/>
      </w:pPr>
    </w:lvl>
  </w:abstractNum>
  <w:num w:numId="1">
    <w:abstractNumId w:val="1"/>
  </w:num>
  <w:num w:numId="2">
    <w:abstractNumId w:val="2"/>
  </w:num>
</w:numbering>
</file>

<file path=word/settings.xml><?xml version="1.0" encoding="utf-8"?>
<w:settings xmlns:w="http://schemas.openxmlformats.org/wordprocessingml/2006/main">
  <w:zoom w:percent="120"/>
  <w:defaultTabStop w:val="709"/>
  <w:autoHyphenation w:val="true"/>
  <w:hyphenationZone w:val="0"/>
  <w:compat>
    <w:compatSetting w:name="compatibilityMode" w:uri="http://schemas.microsoft.com/office/word" w:val="12"/>
    <w:compatSetting w:name="useWord2013TrackBottomHyphenation" w:uri="http://schemas.microsoft.com/office/word" w:val="1"/>
    <w:compatSetting w:name="allowHyphenationAtTrackBottom" w:uri="http://schemas.microsoft.com/office/word" w:val="1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erif CJK SC" w:cs="Noto Sans Devanagari"/>
        <w:kern w:val="2"/>
        <w:sz w:val="24"/>
        <w:szCs w:val="24"/>
        <w:lang w:val="es-ES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kinsoku w:val="true"/>
      <w:overflowPunct w:val="true"/>
      <w:autoSpaceDE w:val="true"/>
      <w:bidi w:val="0"/>
    </w:pPr>
    <w:rPr>
      <w:rFonts w:ascii="Liberation Serif" w:hAnsi="Liberation Serif" w:eastAsia="Noto Serif CJK SC" w:cs="Noto Sans Devanagari"/>
      <w:color w:val="auto"/>
      <w:kern w:val="2"/>
      <w:sz w:val="24"/>
      <w:szCs w:val="24"/>
      <w:lang w:val="es-ES" w:eastAsia="zh-CN" w:bidi="hi-IN"/>
    </w:rPr>
  </w:style>
  <w:style w:type="character" w:styleId="Strong">
    <w:name w:val="Strong"/>
    <w:qFormat/>
    <w:rPr>
      <w:b/>
      <w:bCs/>
    </w:rPr>
  </w:style>
  <w:style w:type="character" w:styleId="Bolos">
    <w:name w:val="Bolos"/>
    <w:qFormat/>
    <w:rPr>
      <w:rFonts w:ascii="OpenSymbol" w:hAnsi="OpenSymbol" w:eastAsia="OpenSymbol" w:cs="OpenSymbol"/>
    </w:rPr>
  </w:style>
  <w:style w:type="paragraph" w:styleId="Ttulo">
    <w:name w:val="Título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Noto Sans CJK SC" w:cs="Noto Sans Devanagari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BodyText"/>
    <w:pPr/>
    <w:rPr>
      <w:rFonts w:cs="Noto Sans Devanagari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Noto Sans Devanagari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cs="Noto Sans Devanagari"/>
    </w:rPr>
  </w:style>
  <w:style w:type="paragraph" w:styleId="Citaenbloque">
    <w:name w:val="Cita en bloque"/>
    <w:basedOn w:val="Normal"/>
    <w:qFormat/>
    <w:pPr>
      <w:spacing w:before="0" w:after="283"/>
      <w:ind w:hanging="0" w:left="567" w:right="567"/>
    </w:pPr>
    <w:rPr/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numbering" Target="numbering.xml"/><Relationship Id="rId4" Type="http://schemas.openxmlformats.org/officeDocument/2006/relationships/fontTable" Target="fontTable.xml"/><Relationship Id="rId5" Type="http://schemas.openxmlformats.org/officeDocument/2006/relationships/settings" Target="settings.xml"/><Relationship Id="rId6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xmlns:r="http://schemas.openxmlformats.org/officeDocument/2006/relationships" name="Offic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Application>LibreOffice/25.8.2.2$Windows_X86_64 LibreOffice_project/d401f2107ccab8f924a8e2df40f573aab7605b6f</Application>
  <AppVersion>15.0000</AppVersion>
  <Pages>1</Pages>
  <Words>64</Words>
  <Characters>327</Characters>
  <CharactersWithSpaces>383</CharactersWithSpaces>
  <Paragraphs>7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2025-11-02T14:35:39Z</dcterms:created>
  <dc:creator/>
  <dc:description/>
  <dc:language>es-ES</dc:language>
  <cp:lastModifiedBy/>
  <cp:revision>1</cp:revision>
  <dc:subject/>
  <dc:title/>
</cp:coreProperties>
</file>