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D0928" w14:textId="77777777" w:rsidR="002D0960" w:rsidRPr="002D0960" w:rsidRDefault="002D0960" w:rsidP="002D0960">
      <w:pPr>
        <w:jc w:val="both"/>
        <w:rPr>
          <w:i/>
          <w:lang w:val="en-US"/>
        </w:rPr>
      </w:pPr>
      <w:r w:rsidRPr="002D0960">
        <w:rPr>
          <w:i/>
          <w:lang w:val="en-US"/>
        </w:rPr>
        <w:t>Sites and plant material</w:t>
      </w:r>
    </w:p>
    <w:p w14:paraId="0995198D" w14:textId="77777777" w:rsidR="002D0960" w:rsidRPr="002D0960" w:rsidRDefault="002D0960" w:rsidP="002D0960">
      <w:pPr>
        <w:jc w:val="both"/>
        <w:rPr>
          <w:lang w:val="en-US"/>
        </w:rPr>
      </w:pPr>
      <w:r w:rsidRPr="002D0960">
        <w:rPr>
          <w:lang w:val="en-US"/>
        </w:rPr>
        <w:t xml:space="preserve">The sampling included four locations of </w:t>
      </w:r>
      <w:r w:rsidRPr="002D0960">
        <w:rPr>
          <w:i/>
          <w:lang w:val="en-US"/>
        </w:rPr>
        <w:t>A. halleri</w:t>
      </w:r>
      <w:r w:rsidRPr="002D0960">
        <w:rPr>
          <w:lang w:val="en-US"/>
        </w:rPr>
        <w:t xml:space="preserve"> in southern Poland: two metalliferous (M) locations at low altitude in the </w:t>
      </w:r>
      <w:proofErr w:type="spellStart"/>
      <w:r w:rsidRPr="002D0960">
        <w:rPr>
          <w:lang w:val="en-US"/>
        </w:rPr>
        <w:t>Olkusz</w:t>
      </w:r>
      <w:proofErr w:type="spellEnd"/>
      <w:r w:rsidRPr="002D0960">
        <w:rPr>
          <w:lang w:val="en-US"/>
        </w:rPr>
        <w:t xml:space="preserve"> region (M_PL22 and M_PL27), one sub-alpine non-metalliferous location at the northern foothills of the </w:t>
      </w:r>
      <w:proofErr w:type="spellStart"/>
      <w:r w:rsidRPr="002D0960">
        <w:rPr>
          <w:lang w:val="en-US"/>
        </w:rPr>
        <w:t>Tatra</w:t>
      </w:r>
      <w:proofErr w:type="spellEnd"/>
      <w:r w:rsidRPr="002D0960">
        <w:rPr>
          <w:lang w:val="en-US"/>
        </w:rPr>
        <w:t xml:space="preserve"> </w:t>
      </w:r>
      <w:proofErr w:type="spellStart"/>
      <w:r w:rsidRPr="002D0960">
        <w:rPr>
          <w:lang w:val="en-US"/>
        </w:rPr>
        <w:t>Mts</w:t>
      </w:r>
      <w:proofErr w:type="spellEnd"/>
      <w:r w:rsidRPr="002D0960">
        <w:rPr>
          <w:lang w:val="en-US"/>
        </w:rPr>
        <w:t xml:space="preserve"> (NM_PL35), and one non-metalliferous location at low altitude in </w:t>
      </w:r>
      <w:proofErr w:type="spellStart"/>
      <w:r w:rsidRPr="002D0960">
        <w:rPr>
          <w:lang w:val="en-US"/>
        </w:rPr>
        <w:t>Niepołomice</w:t>
      </w:r>
      <w:proofErr w:type="spellEnd"/>
      <w:r w:rsidRPr="002D0960">
        <w:rPr>
          <w:lang w:val="en-US"/>
        </w:rPr>
        <w:t xml:space="preserve"> Forest (NM_PL14). In August 2014, 10 </w:t>
      </w:r>
      <w:r w:rsidRPr="002D0960">
        <w:rPr>
          <w:i/>
          <w:lang w:val="en-US"/>
        </w:rPr>
        <w:t xml:space="preserve">A. halleri </w:t>
      </w:r>
      <w:r w:rsidRPr="002D0960">
        <w:rPr>
          <w:lang w:val="en-US"/>
        </w:rPr>
        <w:t xml:space="preserve">individuals were sampled at each </w:t>
      </w:r>
      <w:proofErr w:type="gramStart"/>
      <w:r w:rsidRPr="002D0960">
        <w:rPr>
          <w:lang w:val="en-US"/>
        </w:rPr>
        <w:t>site,</w:t>
      </w:r>
      <w:proofErr w:type="gramEnd"/>
      <w:r w:rsidRPr="002D0960">
        <w:rPr>
          <w:lang w:val="en-US"/>
        </w:rPr>
        <w:t xml:space="preserve"> every 4 m along transects to avoid potential clones. Plants have subsequently been grown in a greenhouse environment (photoperiod: 14 h day, 10 h night; temperature: 20°C day, 18°C night; irradiance at plant level: 300 µ</w:t>
      </w:r>
      <w:proofErr w:type="spellStart"/>
      <w:r w:rsidRPr="002D0960">
        <w:rPr>
          <w:lang w:val="en-US"/>
        </w:rPr>
        <w:t>mol</w:t>
      </w:r>
      <w:proofErr w:type="spellEnd"/>
      <w:r w:rsidRPr="002D0960">
        <w:rPr>
          <w:lang w:val="en-US"/>
        </w:rPr>
        <w:t xml:space="preserve"> photons m</w:t>
      </w:r>
      <w:r w:rsidRPr="002D0960">
        <w:rPr>
          <w:vertAlign w:val="superscript"/>
          <w:lang w:val="en-US"/>
        </w:rPr>
        <w:t xml:space="preserve">-2 </w:t>
      </w:r>
      <w:r w:rsidRPr="002D0960">
        <w:rPr>
          <w:lang w:val="en-US"/>
        </w:rPr>
        <w:t>s</w:t>
      </w:r>
      <w:r w:rsidRPr="002D0960">
        <w:rPr>
          <w:vertAlign w:val="superscript"/>
          <w:lang w:val="en-US"/>
        </w:rPr>
        <w:t>-1</w:t>
      </w:r>
      <w:r w:rsidRPr="002D0960">
        <w:rPr>
          <w:lang w:val="en-US"/>
        </w:rPr>
        <w:t xml:space="preserve">). Pots have been repeatedly randomized and plants were propagated several times via cuttings to minimize carry-over effects of the native population environment. As plants grew and expanded, each genotype was further divided to obtain clonal cuttings for two reciprocal transplant experiments: in the field (F) and under controlled (C) condition. </w:t>
      </w:r>
    </w:p>
    <w:p w14:paraId="3801FDC8" w14:textId="77777777" w:rsidR="002D0960" w:rsidRPr="002D0960" w:rsidRDefault="002D0960" w:rsidP="002D0960">
      <w:pPr>
        <w:jc w:val="both"/>
        <w:rPr>
          <w:i/>
          <w:lang w:val="en-US"/>
        </w:rPr>
      </w:pPr>
    </w:p>
    <w:p w14:paraId="3F71A70A" w14:textId="77777777" w:rsidR="002D0960" w:rsidRPr="002D0960" w:rsidRDefault="002D0960" w:rsidP="002D0960">
      <w:pPr>
        <w:jc w:val="both"/>
        <w:rPr>
          <w:i/>
          <w:lang w:val="en-US"/>
        </w:rPr>
      </w:pPr>
      <w:r w:rsidRPr="002D0960">
        <w:rPr>
          <w:i/>
          <w:lang w:val="en-US"/>
        </w:rPr>
        <w:t>Reciprocal transplant experiment in the field</w:t>
      </w:r>
    </w:p>
    <w:p w14:paraId="06220C1E" w14:textId="77777777" w:rsidR="002D0960" w:rsidRPr="002D0960" w:rsidRDefault="002D0960" w:rsidP="002D0960">
      <w:pPr>
        <w:jc w:val="both"/>
        <w:rPr>
          <w:lang w:val="en-US"/>
        </w:rPr>
      </w:pPr>
      <w:r w:rsidRPr="002D0960">
        <w:rPr>
          <w:lang w:val="en-US"/>
        </w:rPr>
        <w:t>The reciprocal transplantations consisted of planting individuals from each population to the site of origin (sympatric) and to three sites in the foreign region (allopatric</w:t>
      </w:r>
      <w:r w:rsidRPr="002D0960">
        <w:rPr>
          <w:lang w:val="en-US"/>
        </w:rPr>
        <w:t xml:space="preserve">). </w:t>
      </w:r>
      <w:r w:rsidRPr="002D0960">
        <w:rPr>
          <w:lang w:val="en-US"/>
        </w:rPr>
        <w:t>Accordingly, each site received plants from its local population and from three foreign populations, in a randomized block design with three plots per site. Two months prior planting, natural vegetation in the experimental plots was mechanically removed. In May 2015 (t</w:t>
      </w:r>
      <w:r w:rsidRPr="002D0960">
        <w:rPr>
          <w:vertAlign w:val="subscript"/>
          <w:lang w:val="en-US"/>
        </w:rPr>
        <w:t>0</w:t>
      </w:r>
      <w:r w:rsidRPr="002D0960">
        <w:rPr>
          <w:lang w:val="en-US"/>
        </w:rPr>
        <w:t xml:space="preserve">), four-week old rooted cuttings were transplanted directly into the local soil, on an </w:t>
      </w:r>
      <w:proofErr w:type="gramStart"/>
      <w:r w:rsidRPr="002D0960">
        <w:rPr>
          <w:lang w:val="en-US"/>
        </w:rPr>
        <w:t>evenly-spaced</w:t>
      </w:r>
      <w:proofErr w:type="gramEnd"/>
      <w:r w:rsidRPr="002D0960">
        <w:rPr>
          <w:lang w:val="en-US"/>
        </w:rPr>
        <w:t xml:space="preserve"> square grid with a 0.3 m spacing. Each plot contained 40 individuals represented by 10 genotypes per population. A total of 480 individuals </w:t>
      </w:r>
      <w:proofErr w:type="gramStart"/>
      <w:r w:rsidRPr="002D0960">
        <w:rPr>
          <w:lang w:val="en-US"/>
        </w:rPr>
        <w:t>was</w:t>
      </w:r>
      <w:proofErr w:type="gramEnd"/>
      <w:r w:rsidRPr="002D0960">
        <w:rPr>
          <w:lang w:val="en-US"/>
        </w:rPr>
        <w:t xml:space="preserve"> used in this experiment (4 populations x 10 genotypes x 4 clonal replicates x 3 plots = 480 plants). The time until the following spring was considered as a period to eliminate carry-over effects of the greenhouse conditions on transplants </w:t>
      </w:r>
      <w:r w:rsidRPr="002D0960">
        <w:rPr>
          <w:lang w:val="en-US"/>
        </w:rPr>
        <w:fldChar w:fldCharType="begin"/>
      </w:r>
      <w:r w:rsidRPr="002D0960">
        <w:rPr>
          <w:lang w:val="en-US"/>
        </w:rPr>
        <w:instrText xml:space="preserve"> ADDIN EN.CITE &lt;EndNote&gt;&lt;Cite&gt;&lt;Author&gt;Latimer&lt;/Author&gt;&lt;Year&gt;1991&lt;/Year&gt;&lt;RecNum&gt;3128&lt;/RecNum&gt;&lt;DisplayText&gt;(Latimer 1991)&lt;/DisplayText&gt;&lt;record&gt;&lt;rec-number&gt;3128&lt;/rec-number&gt;&lt;foreign-keys&gt;&lt;key app="EN" db-id="9wrp2rxdjwxv93ers27vszppfezx05xvvzdx" timestamp="1513329185"&gt;3128&lt;/key&gt;&lt;/foreign-keys&gt;&lt;ref-type name="Journal Article"&gt;17&lt;/ref-type&gt;&lt;contributors&gt;&lt;authors&gt;&lt;author&gt;Latimer, Joyce G&lt;/author&gt;&lt;/authors&gt;&lt;/contributors&gt;&lt;titles&gt;&lt;title&gt;Growth retardants affect landscape performance of zinnia, impatiens, and marigold&lt;/title&gt;&lt;secondary-title&gt;HortScience&lt;/secondary-title&gt;&lt;/titles&gt;&lt;periodical&gt;&lt;full-title&gt;HortScience&lt;/full-title&gt;&lt;/periodical&gt;&lt;pages&gt;557-560&lt;/pages&gt;&lt;volume&gt;26&lt;/volume&gt;&lt;number&gt;5&lt;/number&gt;&lt;dates&gt;&lt;year&gt;1991&lt;/year&gt;&lt;/dates&gt;&lt;isbn&gt;0018-5345&lt;/isbn&gt;&lt;urls&gt;&lt;/urls&gt;&lt;/record&gt;&lt;/Cite&gt;&lt;/EndNote&gt;</w:instrText>
      </w:r>
      <w:r w:rsidRPr="002D0960">
        <w:rPr>
          <w:lang w:val="en-US"/>
        </w:rPr>
        <w:fldChar w:fldCharType="separate"/>
      </w:r>
      <w:r w:rsidRPr="002D0960">
        <w:rPr>
          <w:noProof/>
          <w:lang w:val="en-US"/>
        </w:rPr>
        <w:t>(Latimer 1991)</w:t>
      </w:r>
      <w:r w:rsidRPr="002D0960">
        <w:rPr>
          <w:lang w:val="en-US"/>
        </w:rPr>
        <w:fldChar w:fldCharType="end"/>
      </w:r>
      <w:r w:rsidRPr="002D0960">
        <w:rPr>
          <w:lang w:val="en-US"/>
        </w:rPr>
        <w:t xml:space="preserve">. The </w:t>
      </w:r>
      <w:proofErr w:type="gramStart"/>
      <w:r w:rsidRPr="002D0960">
        <w:rPr>
          <w:lang w:val="en-US"/>
        </w:rPr>
        <w:t>experiment run</w:t>
      </w:r>
      <w:proofErr w:type="gramEnd"/>
      <w:r w:rsidRPr="002D0960">
        <w:rPr>
          <w:lang w:val="en-US"/>
        </w:rPr>
        <w:t xml:space="preserve"> from March 2016 (t</w:t>
      </w:r>
      <w:r w:rsidRPr="002D0960">
        <w:rPr>
          <w:vertAlign w:val="subscript"/>
          <w:lang w:val="en-US"/>
        </w:rPr>
        <w:t>1</w:t>
      </w:r>
      <w:r w:rsidRPr="002D0960">
        <w:rPr>
          <w:lang w:val="en-US"/>
        </w:rPr>
        <w:t>) to September 2016 (t</w:t>
      </w:r>
      <w:r w:rsidRPr="002D0960">
        <w:rPr>
          <w:vertAlign w:val="subscript"/>
          <w:lang w:val="en-US"/>
        </w:rPr>
        <w:t>2</w:t>
      </w:r>
      <w:r w:rsidRPr="002D0960">
        <w:rPr>
          <w:lang w:val="en-US"/>
        </w:rPr>
        <w:t>). The experimental plots were hand-weeded through the entire experiment.</w:t>
      </w:r>
    </w:p>
    <w:p w14:paraId="63379A70" w14:textId="2E6C99C8" w:rsidR="002D0960" w:rsidRPr="002D0960" w:rsidRDefault="002D0960" w:rsidP="002D0960">
      <w:pPr>
        <w:jc w:val="both"/>
        <w:rPr>
          <w:lang w:val="en-US"/>
        </w:rPr>
      </w:pPr>
      <w:r w:rsidRPr="002D0960">
        <w:rPr>
          <w:lang w:val="en-US"/>
        </w:rPr>
        <w:t>The survival after the acclimatization was first assessed in March 2016 (at t</w:t>
      </w:r>
      <w:r w:rsidRPr="002D0960">
        <w:rPr>
          <w:vertAlign w:val="subscript"/>
          <w:lang w:val="en-US"/>
        </w:rPr>
        <w:t>1</w:t>
      </w:r>
      <w:r w:rsidRPr="002D0960">
        <w:rPr>
          <w:lang w:val="en-US"/>
        </w:rPr>
        <w:t>), and monitored during the growing season 2016 (until t</w:t>
      </w:r>
      <w:r w:rsidRPr="002D0960">
        <w:rPr>
          <w:vertAlign w:val="subscript"/>
          <w:lang w:val="en-US"/>
        </w:rPr>
        <w:t>2</w:t>
      </w:r>
      <w:r w:rsidRPr="002D0960">
        <w:rPr>
          <w:lang w:val="en-US"/>
        </w:rPr>
        <w:t xml:space="preserve">). At the peak of the growing season we scored 64 phenotypic traits, including variables representing growth, reproduction, elemental composition, and foliar properties of each plant. For the list of all traits and details on the trait measurements see Supplementary </w:t>
      </w:r>
      <w:r w:rsidRPr="002D0960">
        <w:rPr>
          <w:highlight w:val="cyan"/>
          <w:lang w:val="en-US"/>
        </w:rPr>
        <w:t xml:space="preserve">Table S1 </w:t>
      </w:r>
      <w:r w:rsidRPr="002D0960">
        <w:rPr>
          <w:lang w:val="en-US"/>
        </w:rPr>
        <w:t>and Supplementary Methods.</w:t>
      </w:r>
    </w:p>
    <w:p w14:paraId="672C95B9" w14:textId="77777777" w:rsidR="002D0960" w:rsidRPr="002D0960" w:rsidRDefault="002D0960" w:rsidP="002D0960">
      <w:pPr>
        <w:jc w:val="both"/>
        <w:rPr>
          <w:i/>
          <w:lang w:val="en-US"/>
        </w:rPr>
      </w:pPr>
    </w:p>
    <w:p w14:paraId="3478CEA6" w14:textId="77777777" w:rsidR="002D0960" w:rsidRPr="002D0960" w:rsidRDefault="002D0960" w:rsidP="002D0960">
      <w:pPr>
        <w:jc w:val="both"/>
        <w:rPr>
          <w:i/>
          <w:lang w:val="en-US"/>
        </w:rPr>
      </w:pPr>
      <w:r w:rsidRPr="002D0960">
        <w:rPr>
          <w:i/>
          <w:lang w:val="en-US"/>
        </w:rPr>
        <w:t>Reciprocal transplant experiment under controlled condition</w:t>
      </w:r>
    </w:p>
    <w:p w14:paraId="199C7420" w14:textId="77777777" w:rsidR="002D0960" w:rsidRPr="002D0960" w:rsidRDefault="002D0960" w:rsidP="002D0960">
      <w:pPr>
        <w:pStyle w:val="ListParagraph"/>
        <w:widowControl w:val="0"/>
        <w:autoSpaceDE w:val="0"/>
        <w:autoSpaceDN w:val="0"/>
        <w:adjustRightInd w:val="0"/>
        <w:ind w:left="0"/>
        <w:jc w:val="both"/>
        <w:rPr>
          <w:lang w:val="en-US"/>
        </w:rPr>
      </w:pPr>
      <w:r w:rsidRPr="002D0960">
        <w:rPr>
          <w:color w:val="2E2E2E"/>
          <w:lang w:val="en-US"/>
        </w:rPr>
        <w:t xml:space="preserve">160 </w:t>
      </w:r>
      <w:r w:rsidRPr="002D0960">
        <w:rPr>
          <w:lang w:val="en-US"/>
        </w:rPr>
        <w:t xml:space="preserve">1.5 l pots were filled with substrate </w:t>
      </w:r>
      <w:r w:rsidRPr="002D0960">
        <w:rPr>
          <w:color w:val="2E2E2E"/>
          <w:lang w:val="en-US"/>
        </w:rPr>
        <w:t>(topsoil) collected directly at study sites</w:t>
      </w:r>
      <w:r w:rsidRPr="002D0960">
        <w:rPr>
          <w:lang w:val="en-US"/>
        </w:rPr>
        <w:t xml:space="preserve"> (40 pots x 2 soil types x 2 sites). Four-week old rooted cuttings were individually placed into pots in April 2018. Each treatment received plants from its local population and from three foreign populations (4 populations x 10 genotypes x 4 clonal replicates = 160 plants). With some genotypes being sterile, the final number of genotypes</w:t>
      </w:r>
      <w:r w:rsidRPr="002D0960">
        <w:rPr>
          <w:i/>
          <w:lang w:val="en-US"/>
        </w:rPr>
        <w:t xml:space="preserve"> </w:t>
      </w:r>
      <w:r w:rsidRPr="002D0960">
        <w:rPr>
          <w:lang w:val="en-US"/>
        </w:rPr>
        <w:t xml:space="preserve">in the experiment was 142 (i.e. 10 to 18 genotypes per location; Table 1). </w:t>
      </w:r>
    </w:p>
    <w:p w14:paraId="221F9D7C" w14:textId="77777777" w:rsidR="002D0960" w:rsidRPr="002D0960" w:rsidRDefault="002D0960" w:rsidP="002D0960">
      <w:pPr>
        <w:pStyle w:val="ListParagraph"/>
        <w:widowControl w:val="0"/>
        <w:autoSpaceDE w:val="0"/>
        <w:autoSpaceDN w:val="0"/>
        <w:adjustRightInd w:val="0"/>
        <w:ind w:left="0"/>
        <w:jc w:val="both"/>
        <w:rPr>
          <w:lang w:val="en-US"/>
        </w:rPr>
      </w:pPr>
      <w:r w:rsidRPr="002D0960">
        <w:rPr>
          <w:lang w:val="en-US"/>
        </w:rPr>
        <w:t xml:space="preserve">This experiment was conducted in a controlled growth chamber, with a day/night temperature regime of 20/18° C, </w:t>
      </w:r>
      <w:r w:rsidRPr="002D0960">
        <w:rPr>
          <w:color w:val="000000" w:themeColor="text1"/>
          <w:lang w:val="en-US"/>
        </w:rPr>
        <w:t xml:space="preserve">65% humidity, </w:t>
      </w:r>
      <w:r w:rsidRPr="002D0960">
        <w:rPr>
          <w:lang w:val="en-US"/>
        </w:rPr>
        <w:t xml:space="preserve">photoperiod of 13h/11h, and a light intensity of 100 </w:t>
      </w:r>
      <w:proofErr w:type="spellStart"/>
      <w:r w:rsidRPr="002D0960">
        <w:rPr>
          <w:lang w:val="en-US"/>
        </w:rPr>
        <w:t>μmol</w:t>
      </w:r>
      <w:proofErr w:type="spellEnd"/>
      <w:r w:rsidRPr="002D0960">
        <w:rPr>
          <w:color w:val="000000"/>
          <w:shd w:val="clear" w:color="auto" w:fill="FFFFFF"/>
          <w:lang w:val="en-US" w:eastAsia="en-GB"/>
        </w:rPr>
        <w:t xml:space="preserve"> photons</w:t>
      </w:r>
      <w:r w:rsidRPr="002D0960">
        <w:rPr>
          <w:lang w:val="en-US"/>
        </w:rPr>
        <w:t xml:space="preserve"> m</w:t>
      </w:r>
      <w:r w:rsidRPr="002D0960">
        <w:rPr>
          <w:vertAlign w:val="superscript"/>
          <w:lang w:val="en-US"/>
        </w:rPr>
        <w:t>-2</w:t>
      </w:r>
      <w:r w:rsidRPr="002D0960">
        <w:rPr>
          <w:lang w:val="en-US"/>
        </w:rPr>
        <w:t>·s</w:t>
      </w:r>
      <w:r w:rsidRPr="002D0960">
        <w:rPr>
          <w:vertAlign w:val="superscript"/>
          <w:lang w:val="en-US"/>
        </w:rPr>
        <w:t>-1</w:t>
      </w:r>
      <w:r w:rsidRPr="002D0960">
        <w:rPr>
          <w:lang w:val="en-US"/>
        </w:rPr>
        <w:t>. Pots have been watered with deionized water and randomized weekly.</w:t>
      </w:r>
    </w:p>
    <w:p w14:paraId="31E957D1" w14:textId="77777777" w:rsidR="002D0960" w:rsidRPr="002D0960" w:rsidRDefault="002D0960" w:rsidP="002D0960">
      <w:pPr>
        <w:jc w:val="both"/>
        <w:rPr>
          <w:lang w:val="en-US"/>
        </w:rPr>
      </w:pPr>
      <w:r w:rsidRPr="002D0960">
        <w:rPr>
          <w:lang w:val="en-US"/>
        </w:rPr>
        <w:t xml:space="preserve">After six weeks of culture we scored 50 phenotypic traits, including variables representing growth, elemental composition, and foliar properties of each plant. For </w:t>
      </w:r>
      <w:r w:rsidRPr="002D0960">
        <w:rPr>
          <w:lang w:val="en-US"/>
        </w:rPr>
        <w:lastRenderedPageBreak/>
        <w:t xml:space="preserve">the list of all traits and details on the trait measurements see Supplementary </w:t>
      </w:r>
      <w:r w:rsidRPr="002D0960">
        <w:rPr>
          <w:highlight w:val="cyan"/>
          <w:lang w:val="en-US"/>
        </w:rPr>
        <w:t xml:space="preserve">Table S1 </w:t>
      </w:r>
      <w:r w:rsidRPr="002D0960">
        <w:rPr>
          <w:lang w:val="en-US"/>
        </w:rPr>
        <w:t>and Supplementary Methods.</w:t>
      </w:r>
    </w:p>
    <w:p w14:paraId="5FDAC87D" w14:textId="77777777" w:rsidR="002D0960" w:rsidRPr="002D0960" w:rsidRDefault="002D0960" w:rsidP="002D0960">
      <w:pPr>
        <w:jc w:val="both"/>
        <w:rPr>
          <w:lang w:val="en-US"/>
        </w:rPr>
      </w:pPr>
    </w:p>
    <w:p w14:paraId="674A3BE6" w14:textId="77777777" w:rsidR="002D0960" w:rsidRPr="002D0960" w:rsidRDefault="002D0960" w:rsidP="002D0960">
      <w:pPr>
        <w:pStyle w:val="NoSpacing"/>
        <w:jc w:val="both"/>
        <w:rPr>
          <w:rFonts w:cs="Times New Roman"/>
          <w:i/>
          <w:szCs w:val="24"/>
          <w:lang w:val="en-US"/>
        </w:rPr>
      </w:pPr>
      <w:r w:rsidRPr="002D0960">
        <w:rPr>
          <w:rFonts w:cs="Times New Roman"/>
          <w:i/>
          <w:szCs w:val="24"/>
          <w:lang w:val="en-US"/>
        </w:rPr>
        <w:t xml:space="preserve">DNA extraction whole-genome sequencing, and </w:t>
      </w:r>
      <w:proofErr w:type="spellStart"/>
      <w:r w:rsidRPr="002D0960">
        <w:rPr>
          <w:rFonts w:cs="Times New Roman"/>
          <w:i/>
          <w:szCs w:val="24"/>
          <w:lang w:val="en-US"/>
        </w:rPr>
        <w:t>bioinformatic</w:t>
      </w:r>
      <w:proofErr w:type="spellEnd"/>
      <w:r w:rsidRPr="002D0960">
        <w:rPr>
          <w:rFonts w:cs="Times New Roman"/>
          <w:i/>
          <w:szCs w:val="24"/>
          <w:lang w:val="en-US"/>
        </w:rPr>
        <w:t xml:space="preserve"> analyses</w:t>
      </w:r>
    </w:p>
    <w:p w14:paraId="25E8D440" w14:textId="77777777" w:rsidR="002D0960" w:rsidRPr="002D0960" w:rsidRDefault="002D0960" w:rsidP="002D0960">
      <w:pPr>
        <w:pStyle w:val="NoSpacing"/>
        <w:jc w:val="both"/>
        <w:rPr>
          <w:rFonts w:cs="Times New Roman"/>
          <w:szCs w:val="24"/>
          <w:lang w:val="en-US"/>
        </w:rPr>
      </w:pPr>
      <w:r w:rsidRPr="002D0960">
        <w:rPr>
          <w:rFonts w:cs="Times New Roman"/>
          <w:szCs w:val="24"/>
          <w:lang w:val="en-US"/>
        </w:rPr>
        <w:t xml:space="preserve">For DNA extraction, 15 mg of </w:t>
      </w:r>
      <w:proofErr w:type="spellStart"/>
      <w:r w:rsidRPr="002D0960">
        <w:rPr>
          <w:rFonts w:cs="Times New Roman"/>
          <w:szCs w:val="24"/>
          <w:lang w:val="en-US"/>
        </w:rPr>
        <w:t>silicalgel</w:t>
      </w:r>
      <w:proofErr w:type="spellEnd"/>
      <w:r w:rsidRPr="002D0960">
        <w:rPr>
          <w:rFonts w:cs="Times New Roman"/>
          <w:szCs w:val="24"/>
          <w:lang w:val="en-US"/>
        </w:rPr>
        <w:t xml:space="preserve">-dried leaf tissue of each clone were used. Extraction was performed with </w:t>
      </w:r>
      <w:proofErr w:type="gramStart"/>
      <w:r w:rsidRPr="002D0960">
        <w:rPr>
          <w:rFonts w:cs="Times New Roman"/>
          <w:szCs w:val="24"/>
          <w:lang w:val="en-US"/>
        </w:rPr>
        <w:t xml:space="preserve">a </w:t>
      </w:r>
      <w:proofErr w:type="spellStart"/>
      <w:r w:rsidRPr="002D0960">
        <w:rPr>
          <w:rFonts w:cs="Times New Roman"/>
          <w:szCs w:val="24"/>
          <w:lang w:val="en-US"/>
        </w:rPr>
        <w:t>KingFisher</w:t>
      </w:r>
      <w:proofErr w:type="spellEnd"/>
      <w:r w:rsidRPr="002D0960">
        <w:rPr>
          <w:rFonts w:cs="Times New Roman"/>
          <w:szCs w:val="24"/>
          <w:lang w:val="en-US"/>
        </w:rPr>
        <w:t xml:space="preserve"> Flex 96</w:t>
      </w:r>
      <w:proofErr w:type="gramEnd"/>
      <w:r w:rsidRPr="002D0960">
        <w:rPr>
          <w:rFonts w:cs="Times New Roman"/>
          <w:szCs w:val="24"/>
          <w:lang w:val="en-US"/>
        </w:rPr>
        <w:t xml:space="preserve"> (Thermo Fisher Scientific, Waltham, USA) and the </w:t>
      </w:r>
      <w:proofErr w:type="spellStart"/>
      <w:r w:rsidRPr="002D0960">
        <w:rPr>
          <w:rFonts w:cs="Times New Roman"/>
          <w:szCs w:val="24"/>
          <w:lang w:val="en-US"/>
        </w:rPr>
        <w:t>sbeadex</w:t>
      </w:r>
      <w:proofErr w:type="spellEnd"/>
      <w:r w:rsidRPr="002D0960">
        <w:rPr>
          <w:rFonts w:cs="Times New Roman"/>
          <w:szCs w:val="24"/>
          <w:lang w:val="en-US"/>
        </w:rPr>
        <w:t xml:space="preserve"> maxi plant kit (LGC Genomics, Berlin, Germany). DNA quality was checked on 1.5% </w:t>
      </w:r>
      <w:proofErr w:type="spellStart"/>
      <w:r w:rsidRPr="002D0960">
        <w:rPr>
          <w:rFonts w:cs="Times New Roman"/>
          <w:szCs w:val="24"/>
          <w:lang w:val="en-US"/>
        </w:rPr>
        <w:t>agarose</w:t>
      </w:r>
      <w:proofErr w:type="spellEnd"/>
      <w:r w:rsidRPr="002D0960">
        <w:rPr>
          <w:rFonts w:cs="Times New Roman"/>
          <w:szCs w:val="24"/>
          <w:lang w:val="en-US"/>
        </w:rPr>
        <w:t xml:space="preserve"> gels stained with </w:t>
      </w:r>
      <w:proofErr w:type="spellStart"/>
      <w:r w:rsidRPr="002D0960">
        <w:rPr>
          <w:rFonts w:cs="Times New Roman"/>
          <w:szCs w:val="24"/>
          <w:lang w:val="en-US"/>
        </w:rPr>
        <w:t>GelRed</w:t>
      </w:r>
      <w:proofErr w:type="spellEnd"/>
      <w:r w:rsidRPr="002D0960">
        <w:rPr>
          <w:rFonts w:cs="Times New Roman"/>
          <w:szCs w:val="24"/>
          <w:lang w:val="en-US"/>
        </w:rPr>
        <w:t xml:space="preserve"> and a </w:t>
      </w:r>
      <w:proofErr w:type="spellStart"/>
      <w:r w:rsidRPr="002D0960">
        <w:rPr>
          <w:rFonts w:cs="Times New Roman"/>
          <w:szCs w:val="24"/>
          <w:lang w:val="en-US"/>
        </w:rPr>
        <w:t>Nanodrop</w:t>
      </w:r>
      <w:proofErr w:type="spellEnd"/>
      <w:r w:rsidRPr="002D0960">
        <w:rPr>
          <w:rFonts w:cs="Times New Roman"/>
          <w:szCs w:val="24"/>
          <w:lang w:val="en-US"/>
        </w:rPr>
        <w:t xml:space="preserve"> 1000 (Thermo Fisher Scientific). DNA quantity was assessed with a </w:t>
      </w:r>
      <w:proofErr w:type="spellStart"/>
      <w:r w:rsidRPr="002D0960">
        <w:rPr>
          <w:rFonts w:cs="Times New Roman"/>
          <w:szCs w:val="24"/>
          <w:lang w:val="en-US"/>
        </w:rPr>
        <w:t>Quantus</w:t>
      </w:r>
      <w:proofErr w:type="spellEnd"/>
      <w:r w:rsidRPr="002D0960">
        <w:rPr>
          <w:rFonts w:cs="Times New Roman"/>
          <w:szCs w:val="24"/>
          <w:lang w:val="en-US"/>
        </w:rPr>
        <w:t xml:space="preserve"> </w:t>
      </w:r>
      <w:proofErr w:type="spellStart"/>
      <w:r w:rsidRPr="002D0960">
        <w:rPr>
          <w:rFonts w:cs="Times New Roman"/>
          <w:szCs w:val="24"/>
          <w:lang w:val="en-US"/>
        </w:rPr>
        <w:t>fluorometer</w:t>
      </w:r>
      <w:proofErr w:type="spellEnd"/>
      <w:r w:rsidRPr="002D0960">
        <w:rPr>
          <w:rFonts w:cs="Times New Roman"/>
          <w:szCs w:val="24"/>
          <w:lang w:val="en-US"/>
        </w:rPr>
        <w:t xml:space="preserve"> (</w:t>
      </w:r>
      <w:proofErr w:type="spellStart"/>
      <w:r w:rsidRPr="002D0960">
        <w:rPr>
          <w:rFonts w:cs="Times New Roman"/>
          <w:szCs w:val="24"/>
          <w:lang w:val="en-US"/>
        </w:rPr>
        <w:t>Promega</w:t>
      </w:r>
      <w:proofErr w:type="spellEnd"/>
      <w:r w:rsidRPr="002D0960">
        <w:rPr>
          <w:rFonts w:cs="Times New Roman"/>
          <w:szCs w:val="24"/>
          <w:lang w:val="en-US"/>
        </w:rPr>
        <w:t xml:space="preserve">, Madison, USA). Library preparation of the 40 samples was done with the KAPA </w:t>
      </w:r>
      <w:proofErr w:type="spellStart"/>
      <w:r w:rsidRPr="002D0960">
        <w:rPr>
          <w:rFonts w:cs="Times New Roman"/>
          <w:szCs w:val="24"/>
          <w:lang w:val="en-US"/>
        </w:rPr>
        <w:t>HyperPrep</w:t>
      </w:r>
      <w:proofErr w:type="spellEnd"/>
      <w:r w:rsidRPr="002D0960">
        <w:rPr>
          <w:rFonts w:cs="Times New Roman"/>
          <w:szCs w:val="24"/>
          <w:lang w:val="en-US"/>
        </w:rPr>
        <w:t xml:space="preserve"> Kit (Roche, Basel, Switzerland) and whole-genome sequencing (2x150 </w:t>
      </w:r>
      <w:proofErr w:type="spellStart"/>
      <w:r w:rsidRPr="002D0960">
        <w:rPr>
          <w:rFonts w:cs="Times New Roman"/>
          <w:szCs w:val="24"/>
          <w:lang w:val="en-US"/>
        </w:rPr>
        <w:t>bp</w:t>
      </w:r>
      <w:proofErr w:type="spellEnd"/>
      <w:r w:rsidRPr="002D0960">
        <w:rPr>
          <w:rFonts w:cs="Times New Roman"/>
          <w:szCs w:val="24"/>
          <w:lang w:val="en-US"/>
        </w:rPr>
        <w:t xml:space="preserve"> paired-end reads) was performed on four lanes of an </w:t>
      </w:r>
      <w:proofErr w:type="spellStart"/>
      <w:r w:rsidRPr="002D0960">
        <w:rPr>
          <w:rFonts w:cs="Times New Roman"/>
          <w:szCs w:val="24"/>
          <w:lang w:val="en-US"/>
        </w:rPr>
        <w:t>Illumina</w:t>
      </w:r>
      <w:proofErr w:type="spellEnd"/>
      <w:r w:rsidRPr="002D0960">
        <w:rPr>
          <w:rFonts w:cs="Times New Roman"/>
          <w:szCs w:val="24"/>
          <w:lang w:val="en-US"/>
        </w:rPr>
        <w:t xml:space="preserve"> </w:t>
      </w:r>
      <w:proofErr w:type="spellStart"/>
      <w:r w:rsidRPr="002D0960">
        <w:rPr>
          <w:rFonts w:cs="Times New Roman"/>
          <w:szCs w:val="24"/>
          <w:lang w:val="en-US"/>
        </w:rPr>
        <w:t>HiSeq</w:t>
      </w:r>
      <w:proofErr w:type="spellEnd"/>
      <w:r w:rsidRPr="002D0960">
        <w:rPr>
          <w:rFonts w:cs="Times New Roman"/>
          <w:szCs w:val="24"/>
          <w:lang w:val="en-US"/>
        </w:rPr>
        <w:t xml:space="preserve"> 2500 with high output mode</w:t>
      </w:r>
      <w:bookmarkStart w:id="0" w:name="_GoBack"/>
      <w:bookmarkEnd w:id="0"/>
      <w:r w:rsidRPr="002D0960">
        <w:rPr>
          <w:rFonts w:cs="Times New Roman"/>
          <w:szCs w:val="24"/>
          <w:lang w:val="en-US"/>
        </w:rPr>
        <w:t xml:space="preserve"> at the Quantitative Genomics Facility (D-BSSE, ETH Basel, Switzerland).</w:t>
      </w:r>
    </w:p>
    <w:p w14:paraId="70237217" w14:textId="77777777" w:rsidR="002D0960" w:rsidRPr="002D0960" w:rsidRDefault="002D0960" w:rsidP="002D0960">
      <w:pPr>
        <w:pStyle w:val="NoSpacing"/>
        <w:jc w:val="both"/>
        <w:rPr>
          <w:rFonts w:cs="Times New Roman"/>
          <w:szCs w:val="24"/>
          <w:lang w:val="en-US"/>
        </w:rPr>
      </w:pPr>
    </w:p>
    <w:p w14:paraId="1ADCCA34" w14:textId="77777777" w:rsidR="002D0960" w:rsidRPr="002D0960" w:rsidRDefault="002D0960" w:rsidP="002D0960">
      <w:pPr>
        <w:pStyle w:val="NoSpacing"/>
        <w:jc w:val="both"/>
        <w:rPr>
          <w:rFonts w:cs="Times New Roman"/>
          <w:szCs w:val="24"/>
          <w:lang w:val="en-US"/>
        </w:rPr>
      </w:pPr>
      <w:r w:rsidRPr="002D0960">
        <w:rPr>
          <w:rFonts w:cs="Times New Roman"/>
          <w:szCs w:val="24"/>
          <w:lang w:val="en-US"/>
        </w:rPr>
        <w:t xml:space="preserve">From the obtained reads, we removed low quality reads (Q&lt;15 along a sliding window of 4 </w:t>
      </w:r>
      <w:proofErr w:type="spellStart"/>
      <w:r w:rsidRPr="002D0960">
        <w:rPr>
          <w:rFonts w:cs="Times New Roman"/>
          <w:szCs w:val="24"/>
          <w:lang w:val="en-US"/>
        </w:rPr>
        <w:t>bp</w:t>
      </w:r>
      <w:proofErr w:type="spellEnd"/>
      <w:r w:rsidRPr="002D0960">
        <w:rPr>
          <w:rFonts w:cs="Times New Roman"/>
          <w:szCs w:val="24"/>
          <w:lang w:val="en-US"/>
        </w:rPr>
        <w:t xml:space="preserve">, length &lt;50) with </w:t>
      </w:r>
      <w:proofErr w:type="spellStart"/>
      <w:r w:rsidRPr="002D0960">
        <w:rPr>
          <w:rFonts w:cs="Times New Roman"/>
          <w:smallCaps/>
          <w:szCs w:val="24"/>
          <w:lang w:val="en-US"/>
        </w:rPr>
        <w:t>Trimmomatic</w:t>
      </w:r>
      <w:proofErr w:type="spellEnd"/>
      <w:r w:rsidRPr="002D0960">
        <w:rPr>
          <w:rFonts w:cs="Times New Roman"/>
          <w:szCs w:val="24"/>
          <w:lang w:val="en-US"/>
        </w:rPr>
        <w:t xml:space="preserve"> 0.35 (Bolger et al. 2014). Only read pairs for which both forward and reverse reads passed the quality criterion </w:t>
      </w:r>
      <w:proofErr w:type="gramStart"/>
      <w:r w:rsidRPr="002D0960">
        <w:rPr>
          <w:rFonts w:cs="Times New Roman"/>
          <w:szCs w:val="24"/>
          <w:lang w:val="en-US"/>
        </w:rPr>
        <w:t>were</w:t>
      </w:r>
      <w:proofErr w:type="gramEnd"/>
      <w:r w:rsidRPr="002D0960">
        <w:rPr>
          <w:rFonts w:cs="Times New Roman"/>
          <w:szCs w:val="24"/>
          <w:lang w:val="en-US"/>
        </w:rPr>
        <w:t xml:space="preserve"> further </w:t>
      </w:r>
      <w:r w:rsidRPr="00C770F7">
        <w:rPr>
          <w:rFonts w:cs="Times New Roman"/>
          <w:szCs w:val="24"/>
          <w:lang w:val="en-US"/>
        </w:rPr>
        <w:t xml:space="preserve">considered. We then mapped the remaining reads to the reference genome of </w:t>
      </w:r>
      <w:r w:rsidRPr="00C770F7">
        <w:rPr>
          <w:rFonts w:cs="Times New Roman"/>
          <w:i/>
          <w:szCs w:val="24"/>
          <w:lang w:val="en-US"/>
        </w:rPr>
        <w:t>A. halleri</w:t>
      </w:r>
      <w:r w:rsidRPr="00C770F7">
        <w:rPr>
          <w:rFonts w:cs="Times New Roman"/>
          <w:szCs w:val="24"/>
          <w:lang w:val="en-US"/>
        </w:rPr>
        <w:t xml:space="preserve"> ssp. </w:t>
      </w:r>
      <w:r w:rsidRPr="00C770F7">
        <w:rPr>
          <w:rFonts w:cs="Times New Roman"/>
          <w:i/>
          <w:szCs w:val="24"/>
          <w:lang w:val="en-US"/>
        </w:rPr>
        <w:t>halleri</w:t>
      </w:r>
      <w:r w:rsidRPr="00C770F7">
        <w:rPr>
          <w:rFonts w:cs="Times New Roman"/>
          <w:szCs w:val="24"/>
          <w:lang w:val="en-US"/>
        </w:rPr>
        <w:t xml:space="preserve"> (</w:t>
      </w:r>
      <w:proofErr w:type="spellStart"/>
      <w:r w:rsidRPr="00C770F7">
        <w:rPr>
          <w:rFonts w:cs="Times New Roman"/>
          <w:szCs w:val="24"/>
          <w:lang w:val="en-US"/>
        </w:rPr>
        <w:t>Sailer</w:t>
      </w:r>
      <w:proofErr w:type="spellEnd"/>
      <w:r w:rsidRPr="00C770F7">
        <w:rPr>
          <w:rFonts w:cs="Times New Roman"/>
          <w:szCs w:val="24"/>
          <w:lang w:val="en-US"/>
        </w:rPr>
        <w:t xml:space="preserve"> et al. 2018) using</w:t>
      </w:r>
      <w:r w:rsidRPr="002D0960">
        <w:rPr>
          <w:rFonts w:cs="Times New Roman"/>
          <w:szCs w:val="24"/>
          <w:lang w:val="en-US"/>
        </w:rPr>
        <w:t xml:space="preserve"> BWA 0.7.12 (Li and Durbin 2009) and a mapping quality threshold of 10. </w:t>
      </w:r>
      <w:proofErr w:type="spellStart"/>
      <w:r w:rsidRPr="002D0960">
        <w:rPr>
          <w:rFonts w:cs="Times New Roman"/>
          <w:szCs w:val="24"/>
          <w:lang w:val="en-US"/>
        </w:rPr>
        <w:t>Freebayes</w:t>
      </w:r>
      <w:proofErr w:type="spellEnd"/>
      <w:r w:rsidRPr="002D0960">
        <w:rPr>
          <w:rFonts w:cs="Times New Roman"/>
          <w:szCs w:val="24"/>
          <w:lang w:val="en-US"/>
        </w:rPr>
        <w:t xml:space="preserve"> 1.1.0 (Garrison 2012) was used to perform the SNP calling, with </w:t>
      </w:r>
      <w:proofErr w:type="spellStart"/>
      <w:r w:rsidRPr="002D0960">
        <w:rPr>
          <w:rFonts w:cs="Times New Roman"/>
          <w:szCs w:val="24"/>
          <w:lang w:val="en-US"/>
        </w:rPr>
        <w:t>ploidy</w:t>
      </w:r>
      <w:proofErr w:type="spellEnd"/>
      <w:r w:rsidRPr="002D0960">
        <w:rPr>
          <w:rFonts w:cs="Times New Roman"/>
          <w:szCs w:val="24"/>
          <w:lang w:val="en-US"/>
        </w:rPr>
        <w:t xml:space="preserve"> set to 2, minimum alternative allele proportion to 0.2, and minimum count of the reference allele to 2. Using </w:t>
      </w:r>
      <w:proofErr w:type="spellStart"/>
      <w:r w:rsidRPr="002D0960">
        <w:rPr>
          <w:rFonts w:cs="Times New Roman"/>
          <w:szCs w:val="24"/>
          <w:lang w:val="en-US"/>
        </w:rPr>
        <w:t>VCFtools</w:t>
      </w:r>
      <w:proofErr w:type="spellEnd"/>
      <w:r w:rsidRPr="002D0960">
        <w:rPr>
          <w:rFonts w:cs="Times New Roman"/>
          <w:szCs w:val="24"/>
          <w:lang w:val="en-US"/>
        </w:rPr>
        <w:t xml:space="preserve"> (</w:t>
      </w:r>
      <w:proofErr w:type="spellStart"/>
      <w:r w:rsidRPr="002D0960">
        <w:rPr>
          <w:rFonts w:cs="Times New Roman"/>
          <w:szCs w:val="24"/>
          <w:lang w:val="en-US"/>
        </w:rPr>
        <w:t>Danecek</w:t>
      </w:r>
      <w:proofErr w:type="spellEnd"/>
      <w:r w:rsidRPr="002D0960">
        <w:rPr>
          <w:rFonts w:cs="Times New Roman"/>
          <w:szCs w:val="24"/>
          <w:lang w:val="en-US"/>
        </w:rPr>
        <w:t xml:space="preserve"> et al. 2011) and mainly following the </w:t>
      </w:r>
      <w:proofErr w:type="spellStart"/>
      <w:r w:rsidRPr="002D0960">
        <w:rPr>
          <w:rFonts w:cs="Times New Roman"/>
          <w:szCs w:val="24"/>
          <w:lang w:val="en-US"/>
        </w:rPr>
        <w:t>dDocent</w:t>
      </w:r>
      <w:proofErr w:type="spellEnd"/>
      <w:r w:rsidRPr="002D0960">
        <w:rPr>
          <w:rFonts w:cs="Times New Roman"/>
          <w:szCs w:val="24"/>
          <w:lang w:val="en-US"/>
        </w:rPr>
        <w:t xml:space="preserve"> pipeline (</w:t>
      </w:r>
      <w:proofErr w:type="spellStart"/>
      <w:r w:rsidRPr="002D0960">
        <w:rPr>
          <w:rFonts w:cs="Times New Roman"/>
          <w:szCs w:val="24"/>
          <w:lang w:val="en-US"/>
        </w:rPr>
        <w:t>Puritz</w:t>
      </w:r>
      <w:proofErr w:type="spellEnd"/>
      <w:r w:rsidRPr="002D0960">
        <w:rPr>
          <w:rFonts w:cs="Times New Roman"/>
          <w:szCs w:val="24"/>
          <w:lang w:val="en-US"/>
        </w:rPr>
        <w:t xml:space="preserve"> et al. 2014), the SNP set was then reduced to loci with mapping quality ≥20, minimum depth ≥3, mean depth ≥10, minor allele count ≥3, minor allele frequency ≥0.05, and proportion of missing data ≤0.5. Moreover, we excluded SNPs exhibiting a proportion of missing data per population &gt;0.2. From this SNP set we only kept loci with an allele balance between 0.25 and 0.75, a mapping quality/alternate allele count ratio ≥10, and support from both forward and reverse reads (PAIRED and PAIREDR, resp.). To exclude potentially </w:t>
      </w:r>
      <w:proofErr w:type="spellStart"/>
      <w:r w:rsidRPr="002D0960">
        <w:rPr>
          <w:rFonts w:cs="Times New Roman"/>
          <w:szCs w:val="24"/>
          <w:lang w:val="en-US"/>
        </w:rPr>
        <w:t>paralogous</w:t>
      </w:r>
      <w:proofErr w:type="spellEnd"/>
      <w:r w:rsidRPr="002D0960">
        <w:rPr>
          <w:rFonts w:cs="Times New Roman"/>
          <w:szCs w:val="24"/>
          <w:lang w:val="en-US"/>
        </w:rPr>
        <w:t xml:space="preserve"> regions, we excluded SNPs with a coverage &gt; 100 x. We decomposed complex variants and removed </w:t>
      </w:r>
      <w:proofErr w:type="spellStart"/>
      <w:r w:rsidRPr="002D0960">
        <w:rPr>
          <w:rFonts w:cs="Times New Roman"/>
          <w:szCs w:val="24"/>
          <w:lang w:val="en-US"/>
        </w:rPr>
        <w:t>InDels</w:t>
      </w:r>
      <w:proofErr w:type="spellEnd"/>
      <w:r w:rsidRPr="002D0960">
        <w:rPr>
          <w:rFonts w:cs="Times New Roman"/>
          <w:szCs w:val="24"/>
          <w:lang w:val="en-US"/>
        </w:rPr>
        <w:t>. We finally only kept bi-</w:t>
      </w:r>
      <w:proofErr w:type="spellStart"/>
      <w:r w:rsidRPr="002D0960">
        <w:rPr>
          <w:rFonts w:cs="Times New Roman"/>
          <w:szCs w:val="24"/>
          <w:lang w:val="en-US"/>
        </w:rPr>
        <w:t>allic</w:t>
      </w:r>
      <w:proofErr w:type="spellEnd"/>
      <w:r w:rsidRPr="002D0960">
        <w:rPr>
          <w:rFonts w:cs="Times New Roman"/>
          <w:szCs w:val="24"/>
          <w:lang w:val="en-US"/>
        </w:rPr>
        <w:t xml:space="preserve"> SNPs and missing data proportion of ≤0.2. We then produced two SNP sets; the complete SNP set and one SNP with loci in Hardy-Weinberg equilibrium (HWE) in all populations (</w:t>
      </w:r>
      <w:r w:rsidRPr="002D0960">
        <w:rPr>
          <w:rFonts w:cs="Times New Roman"/>
          <w:i/>
          <w:szCs w:val="24"/>
          <w:lang w:val="en-US"/>
        </w:rPr>
        <w:t>p</w:t>
      </w:r>
      <w:r w:rsidRPr="002D0960">
        <w:rPr>
          <w:rFonts w:cs="Times New Roman"/>
          <w:szCs w:val="24"/>
          <w:lang w:val="en-US"/>
        </w:rPr>
        <w:t>&lt;0.05).</w:t>
      </w:r>
    </w:p>
    <w:p w14:paraId="2345EB75" w14:textId="77777777" w:rsidR="002C05B4" w:rsidRPr="002D0960" w:rsidRDefault="002C05B4" w:rsidP="002D0960">
      <w:pPr>
        <w:jc w:val="both"/>
        <w:rPr>
          <w:lang w:val="en-US"/>
        </w:rPr>
      </w:pPr>
    </w:p>
    <w:sectPr w:rsidR="002C05B4" w:rsidRPr="002D0960" w:rsidSect="002C05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FBA"/>
    <w:rsid w:val="00081FBA"/>
    <w:rsid w:val="002C05B4"/>
    <w:rsid w:val="002D0960"/>
    <w:rsid w:val="00C77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6C6B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BA"/>
    <w:rPr>
      <w:rFonts w:ascii="Times New Roman" w:eastAsia="Times New Roman" w:hAnsi="Times New Roman" w:cs="Times New Roman"/>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60"/>
    <w:pPr>
      <w:ind w:left="720"/>
      <w:contextualSpacing/>
    </w:pPr>
  </w:style>
  <w:style w:type="paragraph" w:styleId="NoSpacing">
    <w:name w:val="No Spacing"/>
    <w:uiPriority w:val="1"/>
    <w:qFormat/>
    <w:rsid w:val="002D0960"/>
    <w:rPr>
      <w:rFonts w:ascii="Times New Roman" w:eastAsiaTheme="minorHAnsi" w:hAnsi="Times New Roman"/>
      <w:szCs w:val="22"/>
      <w:lang w:val="pl-PL"/>
    </w:rPr>
  </w:style>
  <w:style w:type="character" w:styleId="CommentReference">
    <w:name w:val="annotation reference"/>
    <w:basedOn w:val="DefaultParagraphFont"/>
    <w:uiPriority w:val="99"/>
    <w:semiHidden/>
    <w:unhideWhenUsed/>
    <w:rsid w:val="002D0960"/>
    <w:rPr>
      <w:sz w:val="16"/>
      <w:szCs w:val="16"/>
    </w:rPr>
  </w:style>
  <w:style w:type="paragraph" w:styleId="CommentText">
    <w:name w:val="annotation text"/>
    <w:basedOn w:val="Normal"/>
    <w:link w:val="CommentTextChar"/>
    <w:uiPriority w:val="99"/>
    <w:unhideWhenUsed/>
    <w:rsid w:val="002D0960"/>
    <w:pPr>
      <w:spacing w:after="200"/>
    </w:pPr>
    <w:rPr>
      <w:sz w:val="20"/>
      <w:szCs w:val="20"/>
    </w:rPr>
  </w:style>
  <w:style w:type="character" w:customStyle="1" w:styleId="CommentTextChar">
    <w:name w:val="Comment Text Char"/>
    <w:basedOn w:val="DefaultParagraphFont"/>
    <w:link w:val="CommentText"/>
    <w:uiPriority w:val="99"/>
    <w:rsid w:val="002D0960"/>
    <w:rPr>
      <w:rFonts w:ascii="Times New Roman" w:eastAsia="Times New Roman" w:hAnsi="Times New Roman" w:cs="Times New Roman"/>
      <w:sz w:val="20"/>
      <w:szCs w:val="20"/>
      <w:lang w:val="pl-PL"/>
    </w:rPr>
  </w:style>
  <w:style w:type="paragraph" w:styleId="BalloonText">
    <w:name w:val="Balloon Text"/>
    <w:basedOn w:val="Normal"/>
    <w:link w:val="BalloonTextChar"/>
    <w:uiPriority w:val="99"/>
    <w:semiHidden/>
    <w:unhideWhenUsed/>
    <w:rsid w:val="002D09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960"/>
    <w:rPr>
      <w:rFonts w:ascii="Lucida Grande" w:eastAsia="Times New Roman" w:hAnsi="Lucida Grande" w:cs="Lucida Grande"/>
      <w:sz w:val="18"/>
      <w:szCs w:val="18"/>
      <w:lang w:val="pl-P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BA"/>
    <w:rPr>
      <w:rFonts w:ascii="Times New Roman" w:eastAsia="Times New Roman" w:hAnsi="Times New Roman" w:cs="Times New Roman"/>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60"/>
    <w:pPr>
      <w:ind w:left="720"/>
      <w:contextualSpacing/>
    </w:pPr>
  </w:style>
  <w:style w:type="paragraph" w:styleId="NoSpacing">
    <w:name w:val="No Spacing"/>
    <w:uiPriority w:val="1"/>
    <w:qFormat/>
    <w:rsid w:val="002D0960"/>
    <w:rPr>
      <w:rFonts w:ascii="Times New Roman" w:eastAsiaTheme="minorHAnsi" w:hAnsi="Times New Roman"/>
      <w:szCs w:val="22"/>
      <w:lang w:val="pl-PL"/>
    </w:rPr>
  </w:style>
  <w:style w:type="character" w:styleId="CommentReference">
    <w:name w:val="annotation reference"/>
    <w:basedOn w:val="DefaultParagraphFont"/>
    <w:uiPriority w:val="99"/>
    <w:semiHidden/>
    <w:unhideWhenUsed/>
    <w:rsid w:val="002D0960"/>
    <w:rPr>
      <w:sz w:val="16"/>
      <w:szCs w:val="16"/>
    </w:rPr>
  </w:style>
  <w:style w:type="paragraph" w:styleId="CommentText">
    <w:name w:val="annotation text"/>
    <w:basedOn w:val="Normal"/>
    <w:link w:val="CommentTextChar"/>
    <w:uiPriority w:val="99"/>
    <w:unhideWhenUsed/>
    <w:rsid w:val="002D0960"/>
    <w:pPr>
      <w:spacing w:after="200"/>
    </w:pPr>
    <w:rPr>
      <w:sz w:val="20"/>
      <w:szCs w:val="20"/>
    </w:rPr>
  </w:style>
  <w:style w:type="character" w:customStyle="1" w:styleId="CommentTextChar">
    <w:name w:val="Comment Text Char"/>
    <w:basedOn w:val="DefaultParagraphFont"/>
    <w:link w:val="CommentText"/>
    <w:uiPriority w:val="99"/>
    <w:rsid w:val="002D0960"/>
    <w:rPr>
      <w:rFonts w:ascii="Times New Roman" w:eastAsia="Times New Roman" w:hAnsi="Times New Roman" w:cs="Times New Roman"/>
      <w:sz w:val="20"/>
      <w:szCs w:val="20"/>
      <w:lang w:val="pl-PL"/>
    </w:rPr>
  </w:style>
  <w:style w:type="paragraph" w:styleId="BalloonText">
    <w:name w:val="Balloon Text"/>
    <w:basedOn w:val="Normal"/>
    <w:link w:val="BalloonTextChar"/>
    <w:uiPriority w:val="99"/>
    <w:semiHidden/>
    <w:unhideWhenUsed/>
    <w:rsid w:val="002D09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960"/>
    <w:rPr>
      <w:rFonts w:ascii="Lucida Grande" w:eastAsia="Times New Roman" w:hAnsi="Lucida Grande" w:cs="Lucida Grande"/>
      <w:sz w:val="18"/>
      <w:szCs w:val="18"/>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BB48B-1293-464C-89A0-F92C4402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1024</Words>
  <Characters>5837</Characters>
  <Application>Microsoft Macintosh Word</Application>
  <DocSecurity>0</DocSecurity>
  <Lines>48</Lines>
  <Paragraphs>13</Paragraphs>
  <ScaleCrop>false</ScaleCrop>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dc:creator>
  <cp:keywords/>
  <dc:description/>
  <cp:lastModifiedBy>Alicja</cp:lastModifiedBy>
  <cp:revision>3</cp:revision>
  <dcterms:created xsi:type="dcterms:W3CDTF">2021-02-17T03:23:00Z</dcterms:created>
  <dcterms:modified xsi:type="dcterms:W3CDTF">2021-02-17T03:35:00Z</dcterms:modified>
</cp:coreProperties>
</file>