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Authority Blueprint — Authority Systems Group</w:t>
      </w:r>
    </w:p>
    <w:p>
      <w:r>
        <w:t>Cover: Authority Systems Group — Authority Blueprint</w:t>
      </w:r>
    </w:p>
    <w:p>
      <w:r>
        <w:t>Prepared for: Authority Systems Group</w:t>
      </w:r>
    </w:p>
    <w:p>
      <w:r>
        <w:t>Date: 2026-03-02</w:t>
      </w:r>
    </w:p>
    <w:p>
      <w:r>
        <w:t>Prepared by: Roger (Director) — Authority Systems Group</w:t>
      </w:r>
    </w:p>
    <w:p>
      <w:r>
        <w:t>Table of contents</w:t>
      </w:r>
    </w:p>
    <w:p>
      <w:r>
        <w:t>1. Executive Summary (Roger)</w:t>
      </w:r>
    </w:p>
    <w:p>
      <w:r>
        <w:t>2. Director's Briefing</w:t>
      </w:r>
    </w:p>
    <w:p>
      <w:r>
        <w:t>3. Market Analysis (Daniel Frost)</w:t>
      </w:r>
    </w:p>
    <w:p>
      <w:r>
        <w:t>4. Belief-to-Buy Map (Dr. Raymond Cross)</w:t>
      </w:r>
    </w:p>
    <w:p>
      <w:r>
        <w:t>5. 1-Year Strategic Plan (Quarterly + Month-by-Month)</w:t>
      </w:r>
    </w:p>
    <w:p>
      <w:r>
        <w:t>6. Fast Cash Sprint (Tanya Blackwood / Sofia Vega)</w:t>
      </w:r>
    </w:p>
    <w:p>
      <w:r>
        <w:t>7. KPI Dashboard Spec</w:t>
      </w:r>
    </w:p>
    <w:p>
      <w:r>
        <w:t>8. What Happens Next (Preston Adler)</w:t>
      </w:r>
    </w:p>
    <w:p>
      <w:r>
        <w:t>9. QC Checklist &amp; Sign-offs</w:t>
      </w:r>
    </w:p>
    <w:p>
      <w:pPr>
        <w:pStyle w:val="ListBullet"/>
      </w:pPr>
      <w:r>
        <w:t>---</w:t>
      </w:r>
    </w:p>
    <w:p>
      <w:r>
        <w:t>1. Executive Summary (Roger)</w:t>
      </w:r>
    </w:p>
    <w:p>
      <w:r>
        <w:t>Authority Systems Group enters the market with a focused offer: authority-building content for family law practices across the continental U.S. We will validate the product via two paid pilots, use those engagements to create repeatable case studies, and scale to 20 clients in year one to reach $360k revenue. The immediate priority is the Fast Cash Sprint to produce revenue and proof points.</w:t>
      </w:r>
    </w:p>
    <w:p>
      <w:r>
        <w:t>Key priorities:</w:t>
      </w:r>
    </w:p>
    <w:p>
      <w:pPr>
        <w:pStyle w:val="ListBullet"/>
      </w:pPr>
      <w:r>
        <w:t>- Fast Cash: sign 2 pilot clients in 30–60 days to generate $36k and produce proof points.</w:t>
      </w:r>
    </w:p>
    <w:p>
      <w:pPr>
        <w:pStyle w:val="ListBullet"/>
      </w:pPr>
      <w:r>
        <w:t>- Strategic: build an authority-first content engine tuned to the Belief-to-Buy Framework for family law.</w:t>
      </w:r>
    </w:p>
    <w:p>
      <w:pPr>
        <w:pStyle w:val="ListBullet"/>
      </w:pPr>
      <w:r>
        <w:t>- Operational: standardize deliverables, pricing, and a repeatable onboarding for practice clients.</w:t>
      </w:r>
    </w:p>
    <w:p>
      <w:r>
        <w:t>90‑day outcomes:</w:t>
      </w:r>
    </w:p>
    <w:p>
      <w:pPr>
        <w:pStyle w:val="ListBullet"/>
      </w:pPr>
      <w:r>
        <w:t>- Two signed pilots; one long-form case study; baseline KPI dashboard with monthly lead targets.</w:t>
      </w:r>
    </w:p>
    <w:p>
      <w:pPr>
        <w:pStyle w:val="ListBullet"/>
      </w:pPr>
      <w:r>
        <w:t>---</w:t>
      </w:r>
    </w:p>
    <w:p>
      <w:r>
        <w:t>2. Director's Briefing</w:t>
      </w:r>
    </w:p>
    <w:p>
      <w:r>
        <w:t>Matt — Authority Systems Group launches as a legal-focused authority agency targeting family law firms across the continental U.S. Our research shows the family law vertical is increasingly competitive but underserviced for narrative-driven, ethics-safe authority content — most agencies sell tactics, not credibility. Immediate objective: validate the Authority Content product through two paid pilot engagements and produce repeatable case studies that convert.</w:t>
      </w:r>
    </w:p>
    <w:p>
      <w:pPr>
        <w:pStyle w:val="ListBullet"/>
      </w:pPr>
      <w:r>
        <w:t>---</w:t>
      </w:r>
    </w:p>
    <w:p>
      <w:r>
        <w:t>3. Market Analysis (Daniel Frost)</w:t>
      </w:r>
    </w:p>
    <w:p>
      <w:pPr>
        <w:pStyle w:val="ListBullet"/>
      </w:pPr>
      <w:r>
        <w:t>- Market: family law firms in the U.S.; mid-sized market with steady demand and high lifetime value per client.</w:t>
      </w:r>
    </w:p>
    <w:p>
      <w:pPr>
        <w:pStyle w:val="ListBullet"/>
      </w:pPr>
      <w:r>
        <w:t>- Opportunity: competitors deliver tactical lead-gen or commodity content; few build narrative-driven authority tailored to family law ethics and client sensitivities.</w:t>
      </w:r>
    </w:p>
    <w:p>
      <w:pPr>
        <w:pStyle w:val="ListBullet"/>
      </w:pPr>
      <w:r>
        <w:t>- Positioning gap: a boutique, legal-first authority agency that converts thought leadership into high-value case intake.</w:t>
      </w:r>
    </w:p>
    <w:p>
      <w:pPr>
        <w:pStyle w:val="ListBullet"/>
      </w:pPr>
      <w:r>
        <w:t>- Top competitors (examples):</w:t>
      </w:r>
    </w:p>
    <w:p>
      <w:pPr>
        <w:pStyle w:val="ListBullet"/>
      </w:pPr>
      <w:r>
        <w:t>- Scorpion (https://www.scorpion.co) — Strengths: deep legal-industry distribution and paid-channel capability. Weaknesses: tactical, high-cost, less focused on bespoke authority storytelling.</w:t>
      </w:r>
    </w:p>
    <w:p>
      <w:pPr>
        <w:pStyle w:val="ListBullet"/>
      </w:pPr>
      <w:r>
        <w:t>- LawLytics (https://www.lawlytics.com) — Strengths: legal-focused CMS and content support for small firms. Weaknesses: productized approach with limited long-form narrative work.</w:t>
      </w:r>
    </w:p>
    <w:p>
      <w:pPr>
        <w:pStyle w:val="ListBullet"/>
      </w:pPr>
      <w:r>
        <w:t>- Consultwebs (https://www.consultwebs.com) — Strengths: SEO and lead generation for law firms. Weaknesses: emphasis on volume lead-gen rather than converting high-value cases via thought leadership.</w:t>
      </w:r>
    </w:p>
    <w:p>
      <w:r>
        <w:t>Actionable insight: lead with long-form, narrative case studies and partner-ready LinkedIn playbooks that demonstrate legal credibility and sellability.</w:t>
      </w:r>
    </w:p>
    <w:p>
      <w:pPr>
        <w:pStyle w:val="ListBullet"/>
      </w:pPr>
      <w:r>
        <w:t>---</w:t>
      </w:r>
    </w:p>
    <w:p>
      <w:r>
        <w:t>4. Belief-to-Buy Map (Dr. Raymond Cross)</w:t>
      </w:r>
    </w:p>
    <w:p>
      <w:r>
        <w:t>Primary avatar: `Managing Partner Matt`</w:t>
      </w:r>
    </w:p>
    <w:p>
      <w:pPr>
        <w:pStyle w:val="ListBullet"/>
      </w:pPr>
      <w:r>
        <w:t>- Biggest barrier: Solution Skepticism / Provider Distrust — Q1 content must neutralize both using legal-specific proof and a low-risk pilot structure.</w:t>
      </w:r>
    </w:p>
    <w:p>
      <w:r>
        <w:t>Key content hooks and CTAs are documented in the working blueprint.</w:t>
      </w:r>
    </w:p>
    <w:p>
      <w:pPr>
        <w:pStyle w:val="ListBullet"/>
      </w:pPr>
      <w:r>
        <w:t>---</w:t>
      </w:r>
    </w:p>
    <w:p>
      <w:r>
        <w:t>5. 1-Year Strategic Plan</w:t>
      </w:r>
    </w:p>
    <w:p>
      <w:r>
        <w:t>Q1 — Validation &amp; Proof (Months 0–3): close 2 pilots, produce 2 long-form case studies, publish assets, capture testimonials.</w:t>
      </w:r>
    </w:p>
    <w:p>
      <w:r>
        <w:t>Q2 — Productize &amp; Standardize: onboarding templates, pricing tiers, sales collateral, ROI calculator.</w:t>
      </w:r>
    </w:p>
    <w:p>
      <w:r>
        <w:t>Q3 — Scale Demand Gen: paid LinkedIn, syndication, hire content/outreach specialists.</w:t>
      </w:r>
    </w:p>
    <w:p>
      <w:r>
        <w:t>Q4 — Optimize &amp; Expand: funnel automation, vertical templates, prepare to expand to adjacent legal niches.</w:t>
      </w:r>
    </w:p>
    <w:p>
      <w:pPr>
        <w:pStyle w:val="ListBullet"/>
      </w:pPr>
      <w:r>
        <w:t>---</w:t>
      </w:r>
    </w:p>
    <w:p>
      <w:r>
        <w:t>6. Fast Cash Sprint (Top 3)</w:t>
      </w:r>
    </w:p>
    <w:p>
      <w:r>
        <w:t>1) Pilot Authority Content for 2 Firms — owner: Tanya (Sales) + Content lead</w:t>
      </w:r>
    </w:p>
    <w:p>
      <w:pPr>
        <w:pStyle w:val="ListBullet"/>
      </w:pPr>
      <w:r>
        <w:t>- Deliverables per pilot: 1 long-form case study, 4 LinkedIn posts, 1 downloadable briefing, optional exec video</w:t>
      </w:r>
    </w:p>
    <w:p>
      <w:pPr>
        <w:pStyle w:val="ListBullet"/>
      </w:pPr>
      <w:r>
        <w:t>- Timeline: Days 1–60</w:t>
      </w:r>
    </w:p>
    <w:p>
      <w:pPr>
        <w:pStyle w:val="ListBullet"/>
      </w:pPr>
      <w:r>
        <w:t>- Revenue scenarios (per pilot): Conservative: $18k (one-year retainer); Target: $36k (2 pilots); Stretch: $72k (2 pilots + one upgraded premium package). Assumptions: pilot conversion from outreach = 5%; average deal = $18k; discovery-to-close time = 14–30 days.</w:t>
      </w:r>
    </w:p>
    <w:p>
      <w:r>
        <w:t>2) Paid LinkedIn Outreach — owner: Growth lead</w:t>
      </w:r>
    </w:p>
    <w:p>
      <w:pPr>
        <w:pStyle w:val="ListBullet"/>
      </w:pPr>
      <w:r>
        <w:t>- Revenue scenarios (90 days): Conservative: 1 signed pilot ($18k); Target: 3 signed pilots ($54k); Stretch: 6 signed pilots ($108k). Assumptions: CPL $150–$500; discovery-to-pilot conversion 3–8%.</w:t>
      </w:r>
    </w:p>
    <w:p>
      <w:r>
        <w:t>3) Referral Incentive Program — owner: Partnerships lead</w:t>
      </w:r>
    </w:p>
    <w:p>
      <w:pPr>
        <w:pStyle w:val="ListBullet"/>
      </w:pPr>
      <w:r>
        <w:t>- Revenue scenarios (90 days): Conservative: 1 referral converts ($18k); Target: 3 referrals ($54k); Stretch: 6 referrals ($108k). Assumptions: referral conversion 10–25%; CAC lower than paid outreach.</w:t>
      </w:r>
    </w:p>
    <w:p>
      <w:pPr>
        <w:pStyle w:val="ListBullet"/>
      </w:pPr>
      <w:r>
        <w:t>---</w:t>
      </w:r>
    </w:p>
    <w:p>
      <w:r>
        <w:t>7. KPI Dashboard Spec (selected)</w:t>
      </w:r>
    </w:p>
    <w:p>
      <w:pPr>
        <w:pStyle w:val="ListBullet"/>
      </w:pPr>
      <w:r>
        <w:t>- Core metrics: monthly leads, discovery calls, proposal conversion rate, new clients signed, avg deal size, CAC, LTV, content engagement, retention.</w:t>
      </w:r>
    </w:p>
    <w:p>
      <w:pPr>
        <w:pStyle w:val="ListBullet"/>
      </w:pPr>
      <w:r>
        <w:t>- Baselines &amp; targets: monthly leads 0 → 40; conversion 0% → 5%; monthly revenue target $30k.</w:t>
      </w:r>
    </w:p>
    <w:p>
      <w:pPr>
        <w:pStyle w:val="ListBullet"/>
      </w:pPr>
      <w:r>
        <w:t>---</w:t>
      </w:r>
    </w:p>
    <w:p>
      <w:r>
        <w:t>8. What Happens Next</w:t>
      </w:r>
    </w:p>
    <w:p>
      <w:pPr>
        <w:pStyle w:val="ListBullet"/>
      </w:pPr>
      <w:r>
        <w:t>- Days 0–7: finalize pilot pitch; assemble target list of 40 firms; begin outreach.</w:t>
      </w:r>
    </w:p>
    <w:p>
      <w:pPr>
        <w:pStyle w:val="ListBullet"/>
      </w:pPr>
      <w:r>
        <w:t>- Days 8–30: close pilots; onboard and run intake interviews.</w:t>
      </w:r>
    </w:p>
    <w:p>
      <w:pPr>
        <w:pStyle w:val="ListBullet"/>
      </w:pPr>
      <w:r>
        <w:t>- Days 31–60: publish pilot 1 assets; begin outreach using assets; close pilot 2; capture testimonial.</w:t>
      </w:r>
    </w:p>
    <w:p>
      <w:r>
        <w:t>Meeting cadence: weekly growth sync, bi-weekly content review, monthly strategy call with Roger.</w:t>
      </w:r>
    </w:p>
    <w:p>
      <w:r>
        <w:t>Client responsibilities: provide anonymized case materials within 7 days; approve drafts within 5 business days; allocate 2 hours for interviews per pilot.</w:t>
      </w:r>
    </w:p>
    <w:p>
      <w:pPr>
        <w:pStyle w:val="ListBullet"/>
      </w:pPr>
      <w:r>
        <w:t>---</w:t>
      </w:r>
    </w:p>
    <w:p>
      <w:r>
        <w:t>9. QC Checklist &amp; Sign-offs</w:t>
      </w:r>
    </w:p>
    <w:p>
      <w:pPr>
        <w:pStyle w:val="ListBullet"/>
      </w:pPr>
      <w:r>
        <w:t>- Strategic Alignment: Daniel Frost — [   ]</w:t>
      </w:r>
    </w:p>
    <w:p>
      <w:pPr>
        <w:pStyle w:val="ListBullet"/>
      </w:pPr>
      <w:r>
        <w:t>- Messaging Integrity: Vivienne Carr — [   ]</w:t>
      </w:r>
    </w:p>
    <w:p>
      <w:pPr>
        <w:pStyle w:val="ListBullet"/>
      </w:pPr>
      <w:r>
        <w:t>- Revenue Logic: Tanya Blackwood — [   ]</w:t>
      </w:r>
    </w:p>
    <w:p>
      <w:pPr>
        <w:pStyle w:val="ListBullet"/>
      </w:pPr>
      <w:r>
        <w:t>- Delivery Standard: Preston Adler — [   ]</w:t>
      </w:r>
    </w:p>
    <w:p>
      <w:r>
        <w:t>Document status: READY FOR QC</w:t>
      </w:r>
    </w:p>
    <w:p>
      <w:r>
        <w:t>Files and references:</w:t>
      </w:r>
    </w:p>
    <w:p>
      <w:pPr>
        <w:pStyle w:val="ListBullet"/>
      </w:pPr>
      <w:r>
        <w:t>- Client context: ../client-context.yaml</w:t>
      </w:r>
    </w:p>
    <w:p>
      <w:pPr>
        <w:pStyle w:val="ListBullet"/>
      </w:pPr>
      <w:r>
        <w:t>- Working blueprint (detailed): ../authority_blueprint_20260302.md</w:t>
      </w:r>
    </w:p>
    <w:p>
      <w:pPr>
        <w:pStyle w:val="ListBullet"/>
      </w:pPr>
      <w:r>
        <w:t>---</w:t>
      </w:r>
    </w:p>
    <w:p>
      <w:r>
        <w:t>Next step: convert this assembled markdown into a branded DOCX and route for the four QC sign-offs. Recommended conversion method: `pandoc` or the project's `DOCX_BUILDER.md` skill.</w:t>
      </w:r>
    </w:p>
    <w:p>
      <w:pPr>
        <w:pStyle w:val="ListBullet"/>
      </w:pPr>
      <w:r>
        <w:t>---</w:t>
      </w:r>
    </w:p>
    <w:p>
      <w:r>
        <w:t>Prepared by: Roger — Director, Authority Systems Group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