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9360"/>
      </w:tblGrid>
      <w:tr w:rsidR="006E14F4" w14:paraId="2CF138FB" w14:textId="77777777">
        <w:trPr>
          <w:jc w:val="center"/>
        </w:trPr>
        <w:tc>
          <w:tcPr>
            <w:tcW w:w="9360" w:type="dxa"/>
            <w:shd w:val="clear" w:color="auto" w:fill="1A1A1A"/>
          </w:tcPr>
          <w:p w14:paraId="0C3B9547" w14:textId="77777777" w:rsidR="006E14F4" w:rsidRDefault="00000000">
            <w:pPr>
              <w:spacing w:before="480"/>
              <w:jc w:val="center"/>
            </w:pPr>
            <w:r>
              <w:rPr>
                <w:noProof/>
              </w:rPr>
              <w:drawing>
                <wp:inline distT="0" distB="0" distL="0" distR="0" wp14:anchorId="40B0F2D9" wp14:editId="5F613B08">
                  <wp:extent cx="2011680" cy="96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8"/>
                          <a:stretch>
                            <a:fillRect/>
                          </a:stretch>
                        </pic:blipFill>
                        <pic:spPr>
                          <a:xfrm>
                            <a:off x="0" y="0"/>
                            <a:ext cx="2011680" cy="967315"/>
                          </a:xfrm>
                          <a:prstGeom prst="rect">
                            <a:avLst/>
                          </a:prstGeom>
                        </pic:spPr>
                      </pic:pic>
                    </a:graphicData>
                  </a:graphic>
                </wp:inline>
              </w:drawing>
            </w:r>
          </w:p>
          <w:p w14:paraId="64DA7CC3" w14:textId="77777777" w:rsidR="006E14F4" w:rsidRDefault="00000000">
            <w:pPr>
              <w:spacing w:before="80" w:after="480"/>
              <w:jc w:val="center"/>
            </w:pPr>
            <w:r>
              <w:rPr>
                <w:rFonts w:ascii="Arial" w:hAnsi="Arial"/>
                <w:i/>
                <w:color w:val="25AAE1"/>
              </w:rPr>
              <w:t>Positioning You As The Authority</w:t>
            </w:r>
          </w:p>
        </w:tc>
      </w:tr>
    </w:tbl>
    <w:p w14:paraId="3D23BD7D" w14:textId="77777777" w:rsidR="006E14F4" w:rsidRDefault="006E14F4"/>
    <w:p w14:paraId="1F29491E" w14:textId="77777777" w:rsidR="006E14F4" w:rsidRDefault="00000000">
      <w:pPr>
        <w:spacing w:before="640"/>
        <w:jc w:val="center"/>
      </w:pPr>
      <w:r>
        <w:rPr>
          <w:rFonts w:ascii="Arial" w:hAnsi="Arial"/>
          <w:b/>
          <w:color w:val="25AAE1"/>
          <w:sz w:val="64"/>
        </w:rPr>
        <w:t>Target Niche Analysis</w:t>
      </w:r>
    </w:p>
    <w:p w14:paraId="0DE6BC2C" w14:textId="77777777" w:rsidR="006E14F4" w:rsidRDefault="00000000">
      <w:pPr>
        <w:jc w:val="center"/>
      </w:pPr>
      <w:r>
        <w:rPr>
          <w:rFonts w:ascii="Arial" w:hAnsi="Arial"/>
          <w:color w:val="58585A"/>
          <w:sz w:val="32"/>
        </w:rPr>
        <w:t>Top 20 Recommended Markets for ASG Expansion</w:t>
      </w:r>
    </w:p>
    <w:p w14:paraId="67CDA745" w14:textId="77777777" w:rsidR="006E14F4" w:rsidRDefault="006E14F4">
      <w:pPr>
        <w:pBdr>
          <w:bottom w:val="single" w:sz="8" w:space="1" w:color="58585A"/>
        </w:pBdr>
        <w:spacing w:before="480" w:after="480"/>
      </w:pPr>
    </w:p>
    <w:p w14:paraId="5796E040" w14:textId="77777777" w:rsidR="006E14F4" w:rsidRDefault="00000000">
      <w:pPr>
        <w:spacing w:before="320"/>
        <w:jc w:val="center"/>
      </w:pPr>
      <w:r>
        <w:rPr>
          <w:rFonts w:ascii="Arial" w:hAnsi="Arial"/>
          <w:i/>
          <w:color w:val="58585A"/>
        </w:rPr>
        <w:t>Internal Reference  |  Authority Systems Group™  |  March 2026</w:t>
      </w:r>
    </w:p>
    <w:p w14:paraId="5225DD74" w14:textId="77777777" w:rsidR="006E14F4" w:rsidRDefault="00000000">
      <w:pPr>
        <w:jc w:val="center"/>
      </w:pPr>
      <w:r>
        <w:rPr>
          <w:rFonts w:ascii="Arial" w:hAnsi="Arial"/>
          <w:color w:val="888888"/>
          <w:sz w:val="18"/>
        </w:rPr>
        <w:t>DIRECTOR USE ONLY — Roger Bauer / Authority Systems Group™</w:t>
      </w:r>
    </w:p>
    <w:p w14:paraId="11AD7BB1" w14:textId="77777777" w:rsidR="006E14F4" w:rsidRDefault="00000000">
      <w:r>
        <w:br w:type="page"/>
      </w:r>
    </w:p>
    <w:p w14:paraId="476EF2E4" w14:textId="77777777" w:rsidR="006E14F4" w:rsidRDefault="00000000">
      <w:pPr>
        <w:pBdr>
          <w:bottom w:val="single" w:sz="6" w:space="1" w:color="25AAE1"/>
        </w:pBdr>
        <w:spacing w:before="480" w:after="240"/>
      </w:pPr>
      <w:r>
        <w:rPr>
          <w:rFonts w:ascii="Arial" w:hAnsi="Arial"/>
          <w:b/>
          <w:color w:val="25AAE1"/>
          <w:sz w:val="48"/>
        </w:rPr>
        <w:lastRenderedPageBreak/>
        <w:t>Overview &amp; Strategic Context</w:t>
      </w:r>
    </w:p>
    <w:p w14:paraId="0668FA82" w14:textId="77777777" w:rsidR="006E14F4" w:rsidRDefault="00000000">
      <w:pPr>
        <w:spacing w:after="120"/>
      </w:pPr>
      <w:r>
        <w:rPr>
          <w:rFonts w:ascii="Arial" w:hAnsi="Arial"/>
          <w:color w:val="333333"/>
        </w:rPr>
        <w:t>This document is a permanent internal reference for Authority Systems Group™. It captures the 20 highest-priority target niches drawn from a database of 1,077 evaluated markets, filtered and ranked against ASG's acquisition model: composite score, LTV, retainer structure, serviceability, cashflow risk, and channel alignment.</w:t>
      </w:r>
    </w:p>
    <w:p w14:paraId="045F135D" w14:textId="77777777" w:rsidR="006E14F4" w:rsidRDefault="00000000">
      <w:pPr>
        <w:spacing w:after="120"/>
      </w:pPr>
      <w:r>
        <w:rPr>
          <w:rFonts w:ascii="Arial" w:hAnsi="Arial"/>
          <w:color w:val="333333"/>
        </w:rPr>
        <w:t>All 20 niches meet the following minimum criteria:</w:t>
      </w:r>
    </w:p>
    <w:p w14:paraId="4E768ADC" w14:textId="77777777" w:rsidR="006E14F4" w:rsidRDefault="00000000">
      <w:pPr>
        <w:pStyle w:val="ListBullet"/>
      </w:pPr>
      <w:r>
        <w:rPr>
          <w:rFonts w:ascii="Arial" w:hAnsi="Arial"/>
          <w:color w:val="333333"/>
        </w:rPr>
        <w:t>Composite score ≥ 9.2 / 10.0</w:t>
      </w:r>
    </w:p>
    <w:p w14:paraId="34B9FCFA" w14:textId="77777777" w:rsidR="006E14F4" w:rsidRDefault="00000000">
      <w:pPr>
        <w:pStyle w:val="ListBullet"/>
      </w:pPr>
      <w:r>
        <w:rPr>
          <w:rFonts w:ascii="Arial" w:hAnsi="Arial"/>
          <w:color w:val="333333"/>
        </w:rPr>
        <w:t>Lifetime value (LTV) ≥ $126,000</w:t>
      </w:r>
    </w:p>
    <w:p w14:paraId="5E2AE19A" w14:textId="77777777" w:rsidR="006E14F4" w:rsidRDefault="00000000">
      <w:pPr>
        <w:pStyle w:val="ListBullet"/>
      </w:pPr>
      <w:r>
        <w:rPr>
          <w:rFonts w:ascii="Arial" w:hAnsi="Arial"/>
          <w:color w:val="333333"/>
        </w:rPr>
        <w:t>Retainer payment structure</w:t>
      </w:r>
    </w:p>
    <w:p w14:paraId="2E1DC888" w14:textId="77777777" w:rsidR="006E14F4" w:rsidRDefault="00000000">
      <w:pPr>
        <w:pStyle w:val="ListBullet"/>
      </w:pPr>
      <w:r>
        <w:rPr>
          <w:rFonts w:ascii="Arial" w:hAnsi="Arial"/>
          <w:color w:val="333333"/>
        </w:rPr>
        <w:t>Serviceability rating 2/5 (easy to deliver at scale)</w:t>
      </w:r>
    </w:p>
    <w:p w14:paraId="47A2DF59" w14:textId="77777777" w:rsidR="006E14F4" w:rsidRDefault="00000000">
      <w:pPr>
        <w:pStyle w:val="ListBullet"/>
      </w:pPr>
      <w:r>
        <w:rPr>
          <w:rFonts w:ascii="Arial" w:hAnsi="Arial"/>
          <w:color w:val="333333"/>
        </w:rPr>
        <w:t>LOW cashflow risk under all four stress scenarios</w:t>
      </w:r>
    </w:p>
    <w:p w14:paraId="4E5F4048" w14:textId="77777777" w:rsidR="006E14F4" w:rsidRDefault="00000000">
      <w:pPr>
        <w:pStyle w:val="ListBullet"/>
      </w:pPr>
      <w:r>
        <w:rPr>
          <w:rFonts w:ascii="Arial" w:hAnsi="Arial"/>
          <w:color w:val="333333"/>
        </w:rPr>
        <w:t>Primary acquisition channels: LinkedIn / Cold Email / Content (or PPC/SEO/Content for vertical marketing)</w:t>
      </w:r>
    </w:p>
    <w:p w14:paraId="3731FA06" w14:textId="77777777" w:rsidR="006E14F4" w:rsidRDefault="006E14F4"/>
    <w:p w14:paraId="1351994A" w14:textId="77777777" w:rsidR="006E14F4" w:rsidRDefault="00000000">
      <w:pPr>
        <w:spacing w:after="120"/>
      </w:pPr>
      <w:r>
        <w:rPr>
          <w:rFonts w:ascii="Arial" w:hAnsi="Arial"/>
          <w:color w:val="333333"/>
        </w:rPr>
        <w:t>Niches already in active client engagements (law / attorney practices, business / executive coaching) are excluded from this analysis. The 20 niches below represent ASG's highest-confidence expansion targets as of March 2026.</w:t>
      </w:r>
    </w:p>
    <w:p w14:paraId="3C726EF2" w14:textId="77777777" w:rsidR="006E14F4" w:rsidRDefault="00000000">
      <w:pPr>
        <w:pBdr>
          <w:left w:val="single" w:sz="12" w:space="6" w:color="25AAE1"/>
        </w:pBdr>
        <w:shd w:val="clear" w:color="auto" w:fill="EAF6FC"/>
        <w:spacing w:before="200"/>
        <w:ind w:left="360"/>
      </w:pPr>
      <w:r>
        <w:rPr>
          <w:rFonts w:ascii="Arial" w:hAnsi="Arial"/>
          <w:b/>
          <w:color w:val="25AAE1"/>
        </w:rPr>
        <w:t>Selection criteria prioritize professional service practitioners where the owner IS the product, trust precedes every purchasing decision, and authority content creates an asymmetric competitive advantage. These are the exact conditions where the Belief-to-Buy Framework™ dominates.</w:t>
      </w:r>
    </w:p>
    <w:p w14:paraId="0D170333" w14:textId="77777777" w:rsidR="006E14F4" w:rsidRDefault="006E14F4">
      <w:pPr>
        <w:pBdr>
          <w:bottom w:val="single" w:sz="4" w:space="1" w:color="25AAE1"/>
        </w:pBdr>
        <w:spacing w:before="240" w:after="240"/>
      </w:pPr>
    </w:p>
    <w:p w14:paraId="46E2615E" w14:textId="77777777" w:rsidR="006E14F4" w:rsidRDefault="00000000">
      <w:pPr>
        <w:spacing w:before="320" w:after="120"/>
      </w:pPr>
      <w:r>
        <w:rPr>
          <w:rFonts w:ascii="Arial" w:hAnsi="Arial"/>
          <w:b/>
          <w:color w:val="58585A"/>
          <w:sz w:val="32"/>
        </w:rPr>
        <w:t>Summary Scorecard by Cluster</w:t>
      </w:r>
    </w:p>
    <w:tbl>
      <w:tblPr>
        <w:tblW w:w="0" w:type="auto"/>
        <w:tblLook w:val="04A0" w:firstRow="1" w:lastRow="0" w:firstColumn="1" w:lastColumn="0" w:noHBand="0" w:noVBand="1"/>
      </w:tblPr>
      <w:tblGrid>
        <w:gridCol w:w="2358"/>
        <w:gridCol w:w="1147"/>
        <w:gridCol w:w="1260"/>
        <w:gridCol w:w="3150"/>
        <w:gridCol w:w="1620"/>
      </w:tblGrid>
      <w:tr w:rsidR="006E14F4" w14:paraId="0C316370"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25AAE1"/>
          </w:tcPr>
          <w:p w14:paraId="75BE2292" w14:textId="77777777" w:rsidR="006E14F4" w:rsidRDefault="00000000">
            <w:pPr>
              <w:spacing w:before="60" w:after="60"/>
              <w:jc w:val="center"/>
            </w:pPr>
            <w:r>
              <w:rPr>
                <w:rFonts w:ascii="Arial" w:hAnsi="Arial"/>
                <w:b/>
                <w:color w:val="FFFFFF"/>
                <w:sz w:val="18"/>
              </w:rPr>
              <w:t>Cluster</w:t>
            </w:r>
          </w:p>
        </w:tc>
        <w:tc>
          <w:tcPr>
            <w:tcW w:w="1080" w:type="dxa"/>
            <w:tcBorders>
              <w:top w:val="single" w:sz="4" w:space="0" w:color="CCCCCC"/>
              <w:left w:val="single" w:sz="4" w:space="0" w:color="CCCCCC"/>
              <w:bottom w:val="single" w:sz="4" w:space="0" w:color="CCCCCC"/>
              <w:right w:val="single" w:sz="4" w:space="0" w:color="CCCCCC"/>
            </w:tcBorders>
            <w:shd w:val="clear" w:color="auto" w:fill="25AAE1"/>
          </w:tcPr>
          <w:p w14:paraId="1A412990" w14:textId="77777777" w:rsidR="006E14F4" w:rsidRDefault="00000000">
            <w:pPr>
              <w:spacing w:before="60" w:after="60"/>
              <w:jc w:val="center"/>
            </w:pPr>
            <w:r>
              <w:rPr>
                <w:rFonts w:ascii="Arial" w:hAnsi="Arial"/>
                <w:b/>
                <w:color w:val="FFFFFF"/>
                <w:sz w:val="18"/>
              </w:rPr>
              <w:t>Avg Composite</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50E429CA" w14:textId="77777777" w:rsidR="006E14F4" w:rsidRDefault="00000000">
            <w:pPr>
              <w:spacing w:before="60" w:after="60"/>
              <w:jc w:val="center"/>
            </w:pPr>
            <w:r>
              <w:rPr>
                <w:rFonts w:ascii="Arial" w:hAnsi="Arial"/>
                <w:b/>
                <w:color w:val="FFFFFF"/>
                <w:sz w:val="18"/>
              </w:rPr>
              <w:t>Avg LTV</w:t>
            </w:r>
          </w:p>
        </w:tc>
        <w:tc>
          <w:tcPr>
            <w:tcW w:w="3150" w:type="dxa"/>
            <w:tcBorders>
              <w:top w:val="single" w:sz="4" w:space="0" w:color="CCCCCC"/>
              <w:left w:val="single" w:sz="4" w:space="0" w:color="CCCCCC"/>
              <w:bottom w:val="single" w:sz="4" w:space="0" w:color="CCCCCC"/>
              <w:right w:val="single" w:sz="4" w:space="0" w:color="CCCCCC"/>
            </w:tcBorders>
            <w:shd w:val="clear" w:color="auto" w:fill="25AAE1"/>
          </w:tcPr>
          <w:p w14:paraId="5C24183A" w14:textId="77777777" w:rsidR="006E14F4" w:rsidRDefault="00000000">
            <w:pPr>
              <w:spacing w:before="60" w:after="60"/>
              <w:jc w:val="center"/>
            </w:pPr>
            <w:r>
              <w:rPr>
                <w:rFonts w:ascii="Arial" w:hAnsi="Arial"/>
                <w:b/>
                <w:color w:val="FFFFFF"/>
                <w:sz w:val="18"/>
              </w:rPr>
              <w:t>Primary Channels</w:t>
            </w:r>
          </w:p>
        </w:tc>
        <w:tc>
          <w:tcPr>
            <w:tcW w:w="1620" w:type="dxa"/>
            <w:tcBorders>
              <w:top w:val="single" w:sz="4" w:space="0" w:color="CCCCCC"/>
              <w:left w:val="single" w:sz="4" w:space="0" w:color="CCCCCC"/>
              <w:bottom w:val="single" w:sz="4" w:space="0" w:color="CCCCCC"/>
              <w:right w:val="single" w:sz="4" w:space="0" w:color="CCCCCC"/>
            </w:tcBorders>
            <w:shd w:val="clear" w:color="auto" w:fill="25AAE1"/>
          </w:tcPr>
          <w:p w14:paraId="6FC24DD9" w14:textId="77777777" w:rsidR="006E14F4" w:rsidRDefault="00000000">
            <w:pPr>
              <w:spacing w:before="60" w:after="60"/>
              <w:jc w:val="center"/>
            </w:pPr>
            <w:r>
              <w:rPr>
                <w:rFonts w:ascii="Arial" w:hAnsi="Arial"/>
                <w:b/>
                <w:color w:val="FFFFFF"/>
                <w:sz w:val="18"/>
              </w:rPr>
              <w:t>Avg Sales Cycle</w:t>
            </w:r>
          </w:p>
        </w:tc>
      </w:tr>
      <w:tr w:rsidR="006E14F4" w14:paraId="0BF6305F"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FFFFFF"/>
          </w:tcPr>
          <w:p w14:paraId="5DC07EDA" w14:textId="77777777" w:rsidR="006E14F4" w:rsidRDefault="00000000">
            <w:pPr>
              <w:spacing w:before="40" w:after="40"/>
            </w:pPr>
            <w:r>
              <w:rPr>
                <w:rFonts w:ascii="Arial" w:hAnsi="Arial"/>
                <w:color w:val="333333"/>
                <w:sz w:val="18"/>
              </w:rPr>
              <w:t>Financial &amp; Accounting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3CCF4FC1" w14:textId="77777777" w:rsidR="006E14F4" w:rsidRDefault="00000000">
            <w:pPr>
              <w:spacing w:before="40" w:after="40"/>
            </w:pPr>
            <w:r>
              <w:rPr>
                <w:rFonts w:ascii="Arial" w:hAnsi="Arial"/>
                <w:color w:val="333333"/>
                <w:sz w:val="18"/>
              </w:rPr>
              <w:t>9.51</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783381CA" w14:textId="77777777" w:rsidR="006E14F4" w:rsidRDefault="00000000">
            <w:pPr>
              <w:spacing w:before="40" w:after="40"/>
            </w:pPr>
            <w:r>
              <w:rPr>
                <w:rFonts w:ascii="Arial" w:hAnsi="Arial"/>
                <w:color w:val="333333"/>
                <w:sz w:val="18"/>
              </w:rPr>
              <w:t>$136K</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Pr>
          <w:p w14:paraId="6B072B0D" w14:textId="77777777" w:rsidR="006E14F4" w:rsidRDefault="00000000">
            <w:pPr>
              <w:spacing w:before="40" w:after="40"/>
            </w:pPr>
            <w:r>
              <w:rPr>
                <w:rFonts w:ascii="Arial" w:hAnsi="Arial"/>
                <w:color w:val="333333"/>
                <w:sz w:val="18"/>
              </w:rPr>
              <w:t>LinkedIn / Cold Email / Content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0D0B778E" w14:textId="77777777" w:rsidR="006E14F4" w:rsidRDefault="00000000">
            <w:pPr>
              <w:spacing w:before="40" w:after="40"/>
            </w:pPr>
            <w:r>
              <w:rPr>
                <w:rFonts w:ascii="Arial" w:hAnsi="Arial"/>
                <w:color w:val="333333"/>
                <w:sz w:val="18"/>
              </w:rPr>
              <w:t>45–90 days</w:t>
            </w:r>
          </w:p>
        </w:tc>
      </w:tr>
      <w:tr w:rsidR="006E14F4" w14:paraId="323E9446"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F5F5F5"/>
          </w:tcPr>
          <w:p w14:paraId="7EAA5F4F" w14:textId="77777777" w:rsidR="006E14F4" w:rsidRDefault="00000000">
            <w:pPr>
              <w:spacing w:before="40" w:after="40"/>
            </w:pPr>
            <w:r>
              <w:rPr>
                <w:rFonts w:ascii="Arial" w:hAnsi="Arial"/>
                <w:color w:val="333333"/>
                <w:sz w:val="18"/>
              </w:rPr>
              <w:t>HR &amp; People Strategy</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69175FBE" w14:textId="77777777" w:rsidR="006E14F4" w:rsidRDefault="00000000">
            <w:pPr>
              <w:spacing w:before="40" w:after="40"/>
            </w:pPr>
            <w:r>
              <w:rPr>
                <w:rFonts w:ascii="Arial" w:hAnsi="Arial"/>
                <w:color w:val="333333"/>
                <w:sz w:val="18"/>
              </w:rPr>
              <w:t>9.40</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40C0FA94" w14:textId="77777777" w:rsidR="006E14F4" w:rsidRDefault="00000000">
            <w:pPr>
              <w:spacing w:before="40" w:after="40"/>
            </w:pPr>
            <w:r>
              <w:rPr>
                <w:rFonts w:ascii="Arial" w:hAnsi="Arial"/>
                <w:color w:val="333333"/>
                <w:sz w:val="18"/>
              </w:rPr>
              <w:t>$130K</w:t>
            </w:r>
          </w:p>
        </w:tc>
        <w:tc>
          <w:tcPr>
            <w:tcW w:w="3150" w:type="dxa"/>
            <w:tcBorders>
              <w:top w:val="single" w:sz="4" w:space="0" w:color="CCCCCC"/>
              <w:left w:val="single" w:sz="4" w:space="0" w:color="CCCCCC"/>
              <w:bottom w:val="single" w:sz="4" w:space="0" w:color="CCCCCC"/>
              <w:right w:val="single" w:sz="4" w:space="0" w:color="CCCCCC"/>
            </w:tcBorders>
            <w:shd w:val="clear" w:color="auto" w:fill="F5F5F5"/>
          </w:tcPr>
          <w:p w14:paraId="4659D196" w14:textId="77777777" w:rsidR="006E14F4" w:rsidRDefault="00000000">
            <w:pPr>
              <w:spacing w:before="40" w:after="40"/>
            </w:pPr>
            <w:r>
              <w:rPr>
                <w:rFonts w:ascii="Arial" w:hAnsi="Arial"/>
                <w:color w:val="333333"/>
                <w:sz w:val="18"/>
              </w:rPr>
              <w:t>LinkedIn / Cold Email / Content</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Pr>
          <w:p w14:paraId="7ECA4ED1" w14:textId="77777777" w:rsidR="006E14F4" w:rsidRDefault="00000000">
            <w:pPr>
              <w:spacing w:before="40" w:after="40"/>
            </w:pPr>
            <w:r>
              <w:rPr>
                <w:rFonts w:ascii="Arial" w:hAnsi="Arial"/>
                <w:color w:val="333333"/>
                <w:sz w:val="18"/>
              </w:rPr>
              <w:t>60–75 days</w:t>
            </w:r>
          </w:p>
        </w:tc>
      </w:tr>
      <w:tr w:rsidR="006E14F4" w14:paraId="38494A3E"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FFFFFF"/>
          </w:tcPr>
          <w:p w14:paraId="25CB0E15" w14:textId="77777777" w:rsidR="006E14F4" w:rsidRDefault="00000000">
            <w:pPr>
              <w:spacing w:before="40" w:after="40"/>
            </w:pPr>
            <w:r>
              <w:rPr>
                <w:rFonts w:ascii="Arial" w:hAnsi="Arial"/>
                <w:color w:val="333333"/>
                <w:sz w:val="18"/>
              </w:rPr>
              <w:t>Compliance &amp; Risk</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79E80E7F" w14:textId="77777777" w:rsidR="006E14F4" w:rsidRDefault="00000000">
            <w:pPr>
              <w:spacing w:before="40" w:after="40"/>
            </w:pPr>
            <w:r>
              <w:rPr>
                <w:rFonts w:ascii="Arial" w:hAnsi="Arial"/>
                <w:color w:val="333333"/>
                <w:sz w:val="18"/>
              </w:rPr>
              <w:t>9.42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56811A4B" w14:textId="77777777" w:rsidR="006E14F4" w:rsidRDefault="00000000">
            <w:pPr>
              <w:spacing w:before="40" w:after="40"/>
            </w:pPr>
            <w:r>
              <w:rPr>
                <w:rFonts w:ascii="Arial" w:hAnsi="Arial"/>
                <w:color w:val="333333"/>
                <w:sz w:val="18"/>
              </w:rPr>
              <w:t>$132K</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Pr>
          <w:p w14:paraId="31DA8856" w14:textId="77777777" w:rsidR="006E14F4" w:rsidRDefault="00000000">
            <w:pPr>
              <w:spacing w:before="40" w:after="40"/>
            </w:pPr>
            <w:r>
              <w:rPr>
                <w:rFonts w:ascii="Arial" w:hAnsi="Arial"/>
                <w:color w:val="333333"/>
                <w:sz w:val="18"/>
              </w:rPr>
              <w:t>LinkedIn / Cold Email / Content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27AD23F6" w14:textId="77777777" w:rsidR="006E14F4" w:rsidRDefault="00000000">
            <w:pPr>
              <w:spacing w:before="40" w:after="40"/>
            </w:pPr>
            <w:r>
              <w:rPr>
                <w:rFonts w:ascii="Arial" w:hAnsi="Arial"/>
                <w:color w:val="333333"/>
                <w:sz w:val="18"/>
              </w:rPr>
              <w:t>60–75 days</w:t>
            </w:r>
          </w:p>
        </w:tc>
      </w:tr>
      <w:tr w:rsidR="006E14F4" w14:paraId="0E76E17D"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F5F5F5"/>
          </w:tcPr>
          <w:p w14:paraId="6EB1F700" w14:textId="77777777" w:rsidR="006E14F4" w:rsidRDefault="00000000">
            <w:pPr>
              <w:spacing w:before="40" w:after="40"/>
            </w:pPr>
            <w:r>
              <w:rPr>
                <w:rFonts w:ascii="Arial" w:hAnsi="Arial"/>
                <w:color w:val="333333"/>
                <w:sz w:val="18"/>
              </w:rPr>
              <w:t>Specialty Consulting</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3C5DA9F8" w14:textId="77777777" w:rsidR="006E14F4" w:rsidRDefault="00000000">
            <w:pPr>
              <w:spacing w:before="40" w:after="40"/>
            </w:pPr>
            <w:r>
              <w:rPr>
                <w:rFonts w:ascii="Arial" w:hAnsi="Arial"/>
                <w:color w:val="333333"/>
                <w:sz w:val="18"/>
              </w:rPr>
              <w:t>9.53</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704E6961" w14:textId="77777777" w:rsidR="006E14F4" w:rsidRDefault="00000000">
            <w:pPr>
              <w:spacing w:before="40" w:after="40"/>
            </w:pPr>
            <w:r>
              <w:rPr>
                <w:rFonts w:ascii="Arial" w:hAnsi="Arial"/>
                <w:color w:val="333333"/>
                <w:sz w:val="18"/>
              </w:rPr>
              <w:t>$141K</w:t>
            </w:r>
          </w:p>
        </w:tc>
        <w:tc>
          <w:tcPr>
            <w:tcW w:w="3150" w:type="dxa"/>
            <w:tcBorders>
              <w:top w:val="single" w:sz="4" w:space="0" w:color="CCCCCC"/>
              <w:left w:val="single" w:sz="4" w:space="0" w:color="CCCCCC"/>
              <w:bottom w:val="single" w:sz="4" w:space="0" w:color="CCCCCC"/>
              <w:right w:val="single" w:sz="4" w:space="0" w:color="CCCCCC"/>
            </w:tcBorders>
            <w:shd w:val="clear" w:color="auto" w:fill="F5F5F5"/>
          </w:tcPr>
          <w:p w14:paraId="0B2DA9B9" w14:textId="77777777" w:rsidR="006E14F4" w:rsidRDefault="00000000">
            <w:pPr>
              <w:spacing w:before="40" w:after="40"/>
            </w:pPr>
            <w:r>
              <w:rPr>
                <w:rFonts w:ascii="Arial" w:hAnsi="Arial"/>
                <w:color w:val="333333"/>
                <w:sz w:val="18"/>
              </w:rPr>
              <w:t>LinkedIn / Cold Email / Content</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Pr>
          <w:p w14:paraId="71D4DEDE" w14:textId="77777777" w:rsidR="006E14F4" w:rsidRDefault="00000000">
            <w:pPr>
              <w:spacing w:before="40" w:after="40"/>
            </w:pPr>
            <w:r>
              <w:rPr>
                <w:rFonts w:ascii="Arial" w:hAnsi="Arial"/>
                <w:color w:val="333333"/>
                <w:sz w:val="18"/>
              </w:rPr>
              <w:t>75–90 days</w:t>
            </w:r>
          </w:p>
        </w:tc>
      </w:tr>
      <w:tr w:rsidR="006E14F4" w14:paraId="259EC67A" w14:textId="77777777" w:rsidTr="00AF72B6">
        <w:tc>
          <w:tcPr>
            <w:tcW w:w="2358" w:type="dxa"/>
            <w:tcBorders>
              <w:top w:val="single" w:sz="4" w:space="0" w:color="CCCCCC"/>
              <w:left w:val="single" w:sz="4" w:space="0" w:color="CCCCCC"/>
              <w:bottom w:val="single" w:sz="4" w:space="0" w:color="CCCCCC"/>
              <w:right w:val="single" w:sz="4" w:space="0" w:color="CCCCCC"/>
            </w:tcBorders>
            <w:shd w:val="clear" w:color="auto" w:fill="FFFFFF"/>
          </w:tcPr>
          <w:p w14:paraId="01B52F30" w14:textId="77777777" w:rsidR="006E14F4" w:rsidRDefault="00000000">
            <w:pPr>
              <w:spacing w:before="40" w:after="40"/>
            </w:pPr>
            <w:r>
              <w:rPr>
                <w:rFonts w:ascii="Arial" w:hAnsi="Arial"/>
                <w:color w:val="333333"/>
                <w:sz w:val="18"/>
              </w:rPr>
              <w:t>Vertical Marketing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1EDFEF73" w14:textId="77777777" w:rsidR="006E14F4" w:rsidRDefault="00000000">
            <w:pPr>
              <w:spacing w:before="40" w:after="40"/>
            </w:pPr>
            <w:r>
              <w:rPr>
                <w:rFonts w:ascii="Arial" w:hAnsi="Arial"/>
                <w:color w:val="333333"/>
                <w:sz w:val="18"/>
              </w:rPr>
              <w:t>9.60</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0FF1CC4D" w14:textId="77777777" w:rsidR="006E14F4" w:rsidRDefault="00000000">
            <w:pPr>
              <w:spacing w:before="40" w:after="40"/>
            </w:pPr>
            <w:r>
              <w:rPr>
                <w:rFonts w:ascii="Arial" w:hAnsi="Arial"/>
                <w:color w:val="333333"/>
                <w:sz w:val="18"/>
              </w:rPr>
              <w:t>$149K</w:t>
            </w:r>
          </w:p>
        </w:tc>
        <w:tc>
          <w:tcPr>
            <w:tcW w:w="3150" w:type="dxa"/>
            <w:tcBorders>
              <w:top w:val="single" w:sz="4" w:space="0" w:color="CCCCCC"/>
              <w:left w:val="single" w:sz="4" w:space="0" w:color="CCCCCC"/>
              <w:bottom w:val="single" w:sz="4" w:space="0" w:color="CCCCCC"/>
              <w:right w:val="single" w:sz="4" w:space="0" w:color="CCCCCC"/>
            </w:tcBorders>
            <w:shd w:val="clear" w:color="auto" w:fill="FFFFFF"/>
          </w:tcPr>
          <w:p w14:paraId="4A374EF5" w14:textId="77777777" w:rsidR="006E14F4" w:rsidRDefault="00000000">
            <w:pPr>
              <w:spacing w:before="40" w:after="40"/>
            </w:pPr>
            <w:r>
              <w:rPr>
                <w:rFonts w:ascii="Arial" w:hAnsi="Arial"/>
                <w:color w:val="333333"/>
                <w:sz w:val="18"/>
              </w:rPr>
              <w:t>PPC / SEO / Content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46DCF48E" w14:textId="77777777" w:rsidR="006E14F4" w:rsidRDefault="00000000">
            <w:pPr>
              <w:spacing w:before="40" w:after="40"/>
            </w:pPr>
            <w:r>
              <w:rPr>
                <w:rFonts w:ascii="Arial" w:hAnsi="Arial"/>
                <w:color w:val="333333"/>
                <w:sz w:val="18"/>
              </w:rPr>
              <w:t>75–90 days</w:t>
            </w:r>
          </w:p>
        </w:tc>
      </w:tr>
    </w:tbl>
    <w:p w14:paraId="5730F675" w14:textId="77777777" w:rsidR="006E14F4" w:rsidRDefault="006E14F4"/>
    <w:p w14:paraId="0C6BD2EE" w14:textId="77777777" w:rsidR="006E14F4" w:rsidRDefault="00000000">
      <w:r>
        <w:br w:type="page"/>
      </w:r>
    </w:p>
    <w:p w14:paraId="1F87A192" w14:textId="77777777" w:rsidR="006E14F4" w:rsidRDefault="00000000">
      <w:pPr>
        <w:pBdr>
          <w:bottom w:val="single" w:sz="6" w:space="1" w:color="25AAE1"/>
        </w:pBdr>
        <w:spacing w:before="480" w:after="240"/>
      </w:pPr>
      <w:r>
        <w:rPr>
          <w:rFonts w:ascii="Arial" w:hAnsi="Arial"/>
          <w:b/>
          <w:color w:val="25AAE1"/>
          <w:sz w:val="48"/>
        </w:rPr>
        <w:lastRenderedPageBreak/>
        <w:t>Cluster 1 — Financial &amp; Accounting Advisory</w:t>
      </w:r>
    </w:p>
    <w:p w14:paraId="314E1EDA" w14:textId="77777777" w:rsidR="006E14F4" w:rsidRDefault="00000000">
      <w:pPr>
        <w:spacing w:after="120"/>
      </w:pPr>
      <w:r>
        <w:rPr>
          <w:rFonts w:ascii="Arial" w:hAnsi="Arial"/>
          <w:color w:val="333333"/>
        </w:rPr>
        <w:t>High-trust practitioners. The buyer's certainty about the person IS the sale.</w:t>
      </w:r>
    </w:p>
    <w:p w14:paraId="1D026F9B" w14:textId="77777777" w:rsidR="006E14F4" w:rsidRDefault="00000000">
      <w:pPr>
        <w:pBdr>
          <w:left w:val="single" w:sz="12" w:space="6" w:color="25AAE1"/>
        </w:pBdr>
        <w:shd w:val="clear" w:color="auto" w:fill="EAF6FC"/>
        <w:spacing w:before="200"/>
        <w:ind w:left="360"/>
      </w:pPr>
      <w:r>
        <w:rPr>
          <w:rFonts w:ascii="Arial" w:hAnsi="Arial"/>
          <w:b/>
          <w:color w:val="25AAE1"/>
        </w:rPr>
        <w:t>These practitioners ARE the product. Trust precedes every transaction. Authority content is the dominant acquisition lever — and almost none of these consultants have one.</w:t>
      </w:r>
    </w:p>
    <w:tbl>
      <w:tblPr>
        <w:tblW w:w="0" w:type="auto"/>
        <w:tblLook w:val="04A0" w:firstRow="1" w:lastRow="0" w:firstColumn="1" w:lastColumn="0" w:noHBand="0" w:noVBand="1"/>
      </w:tblPr>
      <w:tblGrid>
        <w:gridCol w:w="3618"/>
        <w:gridCol w:w="1170"/>
        <w:gridCol w:w="1080"/>
        <w:gridCol w:w="1170"/>
        <w:gridCol w:w="1620"/>
        <w:gridCol w:w="900"/>
      </w:tblGrid>
      <w:tr w:rsidR="006E14F4" w14:paraId="5585D2A2"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25AAE1"/>
          </w:tcPr>
          <w:p w14:paraId="0180620E" w14:textId="77777777" w:rsidR="006E14F4" w:rsidRDefault="00000000">
            <w:pPr>
              <w:spacing w:before="60" w:after="60"/>
              <w:jc w:val="center"/>
            </w:pPr>
            <w:r>
              <w:rPr>
                <w:rFonts w:ascii="Arial" w:hAnsi="Arial"/>
                <w:b/>
                <w:color w:val="FFFFFF"/>
                <w:sz w:val="18"/>
              </w:rPr>
              <w:t>Niche</w:t>
            </w:r>
          </w:p>
        </w:tc>
        <w:tc>
          <w:tcPr>
            <w:tcW w:w="1170" w:type="dxa"/>
            <w:tcBorders>
              <w:top w:val="single" w:sz="4" w:space="0" w:color="CCCCCC"/>
              <w:left w:val="single" w:sz="4" w:space="0" w:color="CCCCCC"/>
              <w:bottom w:val="single" w:sz="4" w:space="0" w:color="CCCCCC"/>
              <w:right w:val="single" w:sz="4" w:space="0" w:color="CCCCCC"/>
            </w:tcBorders>
            <w:shd w:val="clear" w:color="auto" w:fill="25AAE1"/>
          </w:tcPr>
          <w:p w14:paraId="353E7746" w14:textId="77777777" w:rsidR="006E14F4" w:rsidRDefault="00000000">
            <w:pPr>
              <w:spacing w:before="60" w:after="60"/>
              <w:jc w:val="center"/>
            </w:pPr>
            <w:r>
              <w:rPr>
                <w:rFonts w:ascii="Arial" w:hAnsi="Arial"/>
                <w:b/>
                <w:color w:val="FFFFFF"/>
                <w:sz w:val="18"/>
              </w:rPr>
              <w:t>Composite</w:t>
            </w:r>
          </w:p>
        </w:tc>
        <w:tc>
          <w:tcPr>
            <w:tcW w:w="1080" w:type="dxa"/>
            <w:tcBorders>
              <w:top w:val="single" w:sz="4" w:space="0" w:color="CCCCCC"/>
              <w:left w:val="single" w:sz="4" w:space="0" w:color="CCCCCC"/>
              <w:bottom w:val="single" w:sz="4" w:space="0" w:color="CCCCCC"/>
              <w:right w:val="single" w:sz="4" w:space="0" w:color="CCCCCC"/>
            </w:tcBorders>
            <w:shd w:val="clear" w:color="auto" w:fill="25AAE1"/>
          </w:tcPr>
          <w:p w14:paraId="38727726" w14:textId="77777777" w:rsidR="006E14F4" w:rsidRDefault="00000000">
            <w:pPr>
              <w:spacing w:before="60" w:after="60"/>
              <w:jc w:val="center"/>
            </w:pPr>
            <w:r>
              <w:rPr>
                <w:rFonts w:ascii="Arial" w:hAnsi="Arial"/>
                <w:b/>
                <w:color w:val="FFFFFF"/>
                <w:sz w:val="18"/>
              </w:rPr>
              <w:t>LTV</w:t>
            </w:r>
          </w:p>
        </w:tc>
        <w:tc>
          <w:tcPr>
            <w:tcW w:w="1170" w:type="dxa"/>
            <w:tcBorders>
              <w:top w:val="single" w:sz="4" w:space="0" w:color="CCCCCC"/>
              <w:left w:val="single" w:sz="4" w:space="0" w:color="CCCCCC"/>
              <w:bottom w:val="single" w:sz="4" w:space="0" w:color="CCCCCC"/>
              <w:right w:val="single" w:sz="4" w:space="0" w:color="CCCCCC"/>
            </w:tcBorders>
            <w:shd w:val="clear" w:color="auto" w:fill="25AAE1"/>
          </w:tcPr>
          <w:p w14:paraId="1A51AD0F" w14:textId="77777777" w:rsidR="006E14F4" w:rsidRDefault="00000000">
            <w:pPr>
              <w:spacing w:before="60" w:after="60"/>
              <w:jc w:val="center"/>
            </w:pPr>
            <w:r>
              <w:rPr>
                <w:rFonts w:ascii="Arial" w:hAnsi="Arial"/>
                <w:b/>
                <w:color w:val="FFFFFF"/>
                <w:sz w:val="18"/>
              </w:rPr>
              <w:t>Deal Size</w:t>
            </w:r>
          </w:p>
        </w:tc>
        <w:tc>
          <w:tcPr>
            <w:tcW w:w="1620" w:type="dxa"/>
            <w:tcBorders>
              <w:top w:val="single" w:sz="4" w:space="0" w:color="CCCCCC"/>
              <w:left w:val="single" w:sz="4" w:space="0" w:color="CCCCCC"/>
              <w:bottom w:val="single" w:sz="4" w:space="0" w:color="CCCCCC"/>
              <w:right w:val="single" w:sz="4" w:space="0" w:color="CCCCCC"/>
            </w:tcBorders>
            <w:shd w:val="clear" w:color="auto" w:fill="25AAE1"/>
          </w:tcPr>
          <w:p w14:paraId="4A68D5BE" w14:textId="77777777" w:rsidR="006E14F4" w:rsidRDefault="00000000">
            <w:pPr>
              <w:spacing w:before="60" w:after="60"/>
              <w:jc w:val="center"/>
            </w:pPr>
            <w:r>
              <w:rPr>
                <w:rFonts w:ascii="Arial" w:hAnsi="Arial"/>
                <w:b/>
                <w:color w:val="FFFFFF"/>
                <w:sz w:val="18"/>
              </w:rPr>
              <w:t>Payment</w:t>
            </w:r>
          </w:p>
        </w:tc>
        <w:tc>
          <w:tcPr>
            <w:tcW w:w="900" w:type="dxa"/>
            <w:tcBorders>
              <w:top w:val="single" w:sz="4" w:space="0" w:color="CCCCCC"/>
              <w:left w:val="single" w:sz="4" w:space="0" w:color="CCCCCC"/>
              <w:bottom w:val="single" w:sz="4" w:space="0" w:color="CCCCCC"/>
              <w:right w:val="single" w:sz="4" w:space="0" w:color="CCCCCC"/>
            </w:tcBorders>
            <w:shd w:val="clear" w:color="auto" w:fill="25AAE1"/>
          </w:tcPr>
          <w:p w14:paraId="32DCA3D4" w14:textId="77777777" w:rsidR="006E14F4" w:rsidRDefault="00000000">
            <w:pPr>
              <w:spacing w:before="60" w:after="60"/>
              <w:jc w:val="center"/>
            </w:pPr>
            <w:r>
              <w:rPr>
                <w:rFonts w:ascii="Arial" w:hAnsi="Arial"/>
                <w:b/>
                <w:color w:val="FFFFFF"/>
                <w:sz w:val="18"/>
              </w:rPr>
              <w:t>Srvc</w:t>
            </w:r>
          </w:p>
        </w:tc>
      </w:tr>
      <w:tr w:rsidR="006E14F4" w14:paraId="0FC741AE"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09EE69CC" w14:textId="77777777" w:rsidR="006E14F4" w:rsidRDefault="00000000">
            <w:pPr>
              <w:spacing w:before="40" w:after="40"/>
            </w:pPr>
            <w:r>
              <w:rPr>
                <w:rFonts w:ascii="Arial" w:hAnsi="Arial"/>
                <w:color w:val="333333"/>
                <w:sz w:val="18"/>
              </w:rPr>
              <w:t>Controller Services (Fractional)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1A5D5B87"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0A8D082A"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5F7ED69F" w14:textId="77777777" w:rsidR="006E14F4" w:rsidRDefault="00000000">
            <w:pPr>
              <w:spacing w:before="40" w:after="40"/>
            </w:pPr>
            <w:r>
              <w:rPr>
                <w:rFonts w:ascii="Arial" w:hAnsi="Arial"/>
                <w:color w:val="333333"/>
                <w:sz w:val="18"/>
              </w:rPr>
              <w:t>$48K</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1FFC87C7"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5F193FE" w14:textId="77777777" w:rsidR="006E14F4" w:rsidRDefault="00000000">
            <w:pPr>
              <w:spacing w:before="40" w:after="40"/>
            </w:pPr>
            <w:r>
              <w:rPr>
                <w:rFonts w:ascii="Arial" w:hAnsi="Arial"/>
                <w:color w:val="333333"/>
                <w:sz w:val="18"/>
              </w:rPr>
              <w:t>2/5</w:t>
            </w:r>
          </w:p>
        </w:tc>
      </w:tr>
      <w:tr w:rsidR="006E14F4" w14:paraId="627B0B84"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F5F5F5"/>
          </w:tcPr>
          <w:p w14:paraId="6A2F71D9" w14:textId="77777777" w:rsidR="006E14F4" w:rsidRDefault="00000000">
            <w:pPr>
              <w:spacing w:before="40" w:after="40"/>
            </w:pPr>
            <w:r>
              <w:rPr>
                <w:rFonts w:ascii="Arial" w:hAnsi="Arial"/>
                <w:color w:val="333333"/>
                <w:sz w:val="18"/>
              </w:rPr>
              <w:t>ERISA Compliance Services</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392F702B"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6BEEEF65"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4862E45C" w14:textId="77777777" w:rsidR="006E14F4" w:rsidRDefault="00000000">
            <w:pPr>
              <w:spacing w:before="40" w:after="40"/>
            </w:pPr>
            <w:r>
              <w:rPr>
                <w:rFonts w:ascii="Arial" w:hAnsi="Arial"/>
                <w:color w:val="333333"/>
                <w:sz w:val="18"/>
              </w:rPr>
              <w:t>$48K</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Pr>
          <w:p w14:paraId="14DF8234"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Pr>
          <w:p w14:paraId="5D92C421" w14:textId="77777777" w:rsidR="006E14F4" w:rsidRDefault="00000000">
            <w:pPr>
              <w:spacing w:before="40" w:after="40"/>
            </w:pPr>
            <w:r>
              <w:rPr>
                <w:rFonts w:ascii="Arial" w:hAnsi="Arial"/>
                <w:color w:val="333333"/>
                <w:sz w:val="18"/>
              </w:rPr>
              <w:t>2/5</w:t>
            </w:r>
          </w:p>
        </w:tc>
      </w:tr>
      <w:tr w:rsidR="006E14F4" w14:paraId="7E86F5CC"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2575A584" w14:textId="77777777" w:rsidR="006E14F4" w:rsidRDefault="00000000">
            <w:pPr>
              <w:spacing w:before="40" w:after="40"/>
            </w:pPr>
            <w:r>
              <w:rPr>
                <w:rFonts w:ascii="Arial" w:hAnsi="Arial"/>
                <w:color w:val="333333"/>
                <w:sz w:val="18"/>
              </w:rPr>
              <w:t>Pension Plan Administration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2D5B7546" w14:textId="77777777" w:rsidR="006E14F4" w:rsidRDefault="00000000">
            <w:pPr>
              <w:spacing w:before="40" w:after="40"/>
            </w:pPr>
            <w:r>
              <w:rPr>
                <w:rFonts w:ascii="Arial" w:hAnsi="Arial"/>
                <w:color w:val="333333"/>
                <w:sz w:val="18"/>
              </w:rPr>
              <w:t>9.54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28AEBA60"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5230B457" w14:textId="77777777" w:rsidR="006E14F4" w:rsidRDefault="00000000">
            <w:pPr>
              <w:spacing w:before="40" w:after="40"/>
            </w:pPr>
            <w:r>
              <w:rPr>
                <w:rFonts w:ascii="Arial" w:hAnsi="Arial"/>
                <w:color w:val="333333"/>
                <w:sz w:val="18"/>
              </w:rPr>
              <w:t>$48K</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318341AD"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137B5C0C" w14:textId="77777777" w:rsidR="006E14F4" w:rsidRDefault="00000000">
            <w:pPr>
              <w:spacing w:before="40" w:after="40"/>
            </w:pPr>
            <w:r>
              <w:rPr>
                <w:rFonts w:ascii="Arial" w:hAnsi="Arial"/>
                <w:color w:val="333333"/>
                <w:sz w:val="18"/>
              </w:rPr>
              <w:t>2/5</w:t>
            </w:r>
          </w:p>
        </w:tc>
      </w:tr>
      <w:tr w:rsidR="006E14F4" w14:paraId="5653A9A3"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F5F5F5"/>
          </w:tcPr>
          <w:p w14:paraId="1A909137" w14:textId="77777777" w:rsidR="006E14F4" w:rsidRDefault="00000000">
            <w:pPr>
              <w:spacing w:before="40" w:after="40"/>
            </w:pPr>
            <w:r>
              <w:rPr>
                <w:rFonts w:ascii="Arial" w:hAnsi="Arial"/>
                <w:color w:val="333333"/>
                <w:sz w:val="18"/>
              </w:rPr>
              <w:t>401(k) Plan Advisory</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371FB96E" w14:textId="77777777" w:rsidR="006E14F4" w:rsidRDefault="00000000">
            <w:pPr>
              <w:spacing w:before="40" w:after="40"/>
            </w:pPr>
            <w:r>
              <w:rPr>
                <w:rFonts w:ascii="Arial" w:hAnsi="Arial"/>
                <w:color w:val="333333"/>
                <w:sz w:val="18"/>
              </w:rPr>
              <w:t>9.20</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5719919E" w14:textId="77777777" w:rsidR="006E14F4" w:rsidRDefault="00000000">
            <w:pPr>
              <w:spacing w:before="40" w:after="40"/>
            </w:pPr>
            <w:r>
              <w:rPr>
                <w:rFonts w:ascii="Arial" w:hAnsi="Arial"/>
                <w:color w:val="333333"/>
                <w:sz w:val="18"/>
              </w:rPr>
              <w:t>$128K</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0AF44061" w14:textId="77777777" w:rsidR="006E14F4" w:rsidRDefault="00000000">
            <w:pPr>
              <w:spacing w:before="40" w:after="40"/>
            </w:pPr>
            <w:r>
              <w:rPr>
                <w:rFonts w:ascii="Arial" w:hAnsi="Arial"/>
                <w:color w:val="333333"/>
                <w:sz w:val="18"/>
              </w:rPr>
              <w:t>$32K</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Pr>
          <w:p w14:paraId="575684E1"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Pr>
          <w:p w14:paraId="2D349C0F" w14:textId="77777777" w:rsidR="006E14F4" w:rsidRDefault="00000000">
            <w:pPr>
              <w:spacing w:before="40" w:after="40"/>
            </w:pPr>
            <w:r>
              <w:rPr>
                <w:rFonts w:ascii="Arial" w:hAnsi="Arial"/>
                <w:color w:val="333333"/>
                <w:sz w:val="18"/>
              </w:rPr>
              <w:t>2/5</w:t>
            </w:r>
          </w:p>
        </w:tc>
      </w:tr>
      <w:tr w:rsidR="006E14F4" w14:paraId="161BD1B9" w14:textId="77777777" w:rsidTr="00AD3582">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629FC946" w14:textId="77777777" w:rsidR="006E14F4" w:rsidRDefault="00000000">
            <w:pPr>
              <w:spacing w:before="40" w:after="40"/>
            </w:pPr>
            <w:r>
              <w:rPr>
                <w:rFonts w:ascii="Arial" w:hAnsi="Arial"/>
                <w:color w:val="333333"/>
                <w:sz w:val="18"/>
              </w:rPr>
              <w:t>Retirement Planning Services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26F97453" w14:textId="77777777" w:rsidR="006E14F4" w:rsidRDefault="00000000">
            <w:pPr>
              <w:spacing w:before="40" w:after="40"/>
            </w:pPr>
            <w:r>
              <w:rPr>
                <w:rFonts w:ascii="Arial" w:hAnsi="Arial"/>
                <w:color w:val="333333"/>
                <w:sz w:val="18"/>
              </w:rPr>
              <w:t>9.20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4AF04B39" w14:textId="77777777" w:rsidR="006E14F4" w:rsidRDefault="00000000">
            <w:pPr>
              <w:spacing w:before="40" w:after="40"/>
            </w:pPr>
            <w:r>
              <w:rPr>
                <w:rFonts w:ascii="Arial" w:hAnsi="Arial"/>
                <w:color w:val="333333"/>
                <w:sz w:val="18"/>
              </w:rPr>
              <w:t>$128K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7F82B6F3" w14:textId="77777777" w:rsidR="006E14F4" w:rsidRDefault="00000000">
            <w:pPr>
              <w:spacing w:before="40" w:after="40"/>
            </w:pPr>
            <w:r>
              <w:rPr>
                <w:rFonts w:ascii="Arial" w:hAnsi="Arial"/>
                <w:color w:val="333333"/>
                <w:sz w:val="18"/>
              </w:rPr>
              <w:t>$32K</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Pr>
          <w:p w14:paraId="54B18209"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8D6738E" w14:textId="77777777" w:rsidR="006E14F4" w:rsidRDefault="00000000">
            <w:pPr>
              <w:spacing w:before="40" w:after="40"/>
            </w:pPr>
            <w:r>
              <w:rPr>
                <w:rFonts w:ascii="Arial" w:hAnsi="Arial"/>
                <w:color w:val="333333"/>
                <w:sz w:val="18"/>
              </w:rPr>
              <w:t>2/5</w:t>
            </w:r>
          </w:p>
        </w:tc>
      </w:tr>
    </w:tbl>
    <w:p w14:paraId="44497675" w14:textId="77777777" w:rsidR="006E14F4" w:rsidRDefault="006E14F4"/>
    <w:p w14:paraId="51522E96" w14:textId="77777777" w:rsidR="006E14F4" w:rsidRDefault="00000000">
      <w:pPr>
        <w:spacing w:before="240" w:after="80"/>
      </w:pPr>
      <w:r>
        <w:rPr>
          <w:rFonts w:ascii="Arial" w:hAnsi="Arial"/>
          <w:b/>
          <w:color w:val="25AAE1"/>
          <w:sz w:val="26"/>
        </w:rPr>
        <w:t>Strategic Rationale</w:t>
      </w:r>
    </w:p>
    <w:p w14:paraId="58D2004A" w14:textId="77777777" w:rsidR="006E14F4" w:rsidRDefault="00000000">
      <w:pPr>
        <w:spacing w:after="120"/>
      </w:pPr>
      <w:r>
        <w:rPr>
          <w:rFonts w:ascii="Arial" w:hAnsi="Arial"/>
          <w:color w:val="333333"/>
        </w:rPr>
        <w:t>CFOs, fractional controllers, and retirement advisors sell expertise packaged as a person. The buyer's belief about the practitioner's credibility is the entire sale. LinkedIn authority content combined with a structured belief sequence is the highest-leverage acquisition system in these markets. Most competitors are invisible on content. The gap is wide open. The Belief-to-Buy Framework maps perfectly: 'My current advisor is reactive' is the enemy belief, and a well-positioned fractional CFO with consistent authority content rewrites that belief before the first conversation happens.</w:t>
      </w:r>
    </w:p>
    <w:p w14:paraId="0B6201E2" w14:textId="77777777" w:rsidR="006E14F4" w:rsidRDefault="006E14F4">
      <w:pPr>
        <w:pBdr>
          <w:bottom w:val="single" w:sz="4" w:space="1" w:color="25AAE1"/>
        </w:pBdr>
        <w:spacing w:before="240" w:after="240"/>
      </w:pPr>
    </w:p>
    <w:p w14:paraId="49EEFD43" w14:textId="77777777" w:rsidR="006E14F4" w:rsidRDefault="00000000">
      <w:r>
        <w:br w:type="page"/>
      </w:r>
    </w:p>
    <w:p w14:paraId="7076DC16" w14:textId="77777777" w:rsidR="006E14F4" w:rsidRDefault="00000000">
      <w:pPr>
        <w:pBdr>
          <w:bottom w:val="single" w:sz="6" w:space="1" w:color="25AAE1"/>
        </w:pBdr>
        <w:spacing w:before="480" w:after="240"/>
      </w:pPr>
      <w:r>
        <w:rPr>
          <w:rFonts w:ascii="Arial" w:hAnsi="Arial"/>
          <w:b/>
          <w:color w:val="25AAE1"/>
          <w:sz w:val="48"/>
        </w:rPr>
        <w:lastRenderedPageBreak/>
        <w:t>Cluster 2 — HR &amp; People Strategy Consulting</w:t>
      </w:r>
    </w:p>
    <w:p w14:paraId="1AE635A6" w14:textId="77777777" w:rsidR="006E14F4" w:rsidRDefault="00000000">
      <w:pPr>
        <w:spacing w:after="120"/>
      </w:pPr>
      <w:r>
        <w:rPr>
          <w:rFonts w:ascii="Arial" w:hAnsi="Arial"/>
          <w:color w:val="333333"/>
        </w:rPr>
        <w:t>High LTV, short-to-medium sales cycles, LinkedIn-native buyers, underserved by quality marketing.</w:t>
      </w:r>
    </w:p>
    <w:p w14:paraId="0CA4EC50" w14:textId="77777777" w:rsidR="006E14F4" w:rsidRDefault="00000000">
      <w:pPr>
        <w:pBdr>
          <w:left w:val="single" w:sz="12" w:space="6" w:color="25AAE1"/>
        </w:pBdr>
        <w:shd w:val="clear" w:color="auto" w:fill="EAF6FC"/>
        <w:spacing w:before="200"/>
        <w:ind w:left="360"/>
      </w:pPr>
      <w:r>
        <w:rPr>
          <w:rFonts w:ascii="Arial" w:hAnsi="Arial"/>
          <w:b/>
          <w:color w:val="25AAE1"/>
        </w:rPr>
        <w:t>HR consultants are fighting for the same CHROs and business owners on LinkedIn with generic content. The Belief-to-Buy Framework maps directly — and the enemy belief is begging to be disrupted.</w:t>
      </w:r>
    </w:p>
    <w:tbl>
      <w:tblPr>
        <w:tblW w:w="0" w:type="auto"/>
        <w:tblLook w:val="04A0" w:firstRow="1" w:lastRow="0" w:firstColumn="1" w:lastColumn="0" w:noHBand="0" w:noVBand="1"/>
      </w:tblPr>
      <w:tblGrid>
        <w:gridCol w:w="3528"/>
        <w:gridCol w:w="1147"/>
        <w:gridCol w:w="1080"/>
        <w:gridCol w:w="1260"/>
        <w:gridCol w:w="1530"/>
        <w:gridCol w:w="900"/>
      </w:tblGrid>
      <w:tr w:rsidR="006E14F4" w14:paraId="3E5973AB"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25AAE1"/>
          </w:tcPr>
          <w:p w14:paraId="2E0A65B9" w14:textId="77777777" w:rsidR="006E14F4" w:rsidRDefault="00000000">
            <w:pPr>
              <w:spacing w:before="60" w:after="60"/>
              <w:jc w:val="center"/>
            </w:pPr>
            <w:r>
              <w:rPr>
                <w:rFonts w:ascii="Arial" w:hAnsi="Arial"/>
                <w:b/>
                <w:color w:val="FFFFFF"/>
                <w:sz w:val="18"/>
              </w:rPr>
              <w:t>Niche</w:t>
            </w:r>
          </w:p>
        </w:tc>
        <w:tc>
          <w:tcPr>
            <w:tcW w:w="990" w:type="dxa"/>
            <w:tcBorders>
              <w:top w:val="single" w:sz="4" w:space="0" w:color="CCCCCC"/>
              <w:left w:val="single" w:sz="4" w:space="0" w:color="CCCCCC"/>
              <w:bottom w:val="single" w:sz="4" w:space="0" w:color="CCCCCC"/>
              <w:right w:val="single" w:sz="4" w:space="0" w:color="CCCCCC"/>
            </w:tcBorders>
            <w:shd w:val="clear" w:color="auto" w:fill="25AAE1"/>
          </w:tcPr>
          <w:p w14:paraId="5FED2792" w14:textId="77777777" w:rsidR="006E14F4" w:rsidRDefault="00000000">
            <w:pPr>
              <w:spacing w:before="60" w:after="60"/>
              <w:jc w:val="center"/>
            </w:pPr>
            <w:r>
              <w:rPr>
                <w:rFonts w:ascii="Arial" w:hAnsi="Arial"/>
                <w:b/>
                <w:color w:val="FFFFFF"/>
                <w:sz w:val="18"/>
              </w:rPr>
              <w:t>Composite</w:t>
            </w:r>
          </w:p>
        </w:tc>
        <w:tc>
          <w:tcPr>
            <w:tcW w:w="1080" w:type="dxa"/>
            <w:tcBorders>
              <w:top w:val="single" w:sz="4" w:space="0" w:color="CCCCCC"/>
              <w:left w:val="single" w:sz="4" w:space="0" w:color="CCCCCC"/>
              <w:bottom w:val="single" w:sz="4" w:space="0" w:color="CCCCCC"/>
              <w:right w:val="single" w:sz="4" w:space="0" w:color="CCCCCC"/>
            </w:tcBorders>
            <w:shd w:val="clear" w:color="auto" w:fill="25AAE1"/>
          </w:tcPr>
          <w:p w14:paraId="2814032D" w14:textId="77777777" w:rsidR="006E14F4" w:rsidRDefault="00000000">
            <w:pPr>
              <w:spacing w:before="60" w:after="60"/>
              <w:jc w:val="center"/>
            </w:pPr>
            <w:r>
              <w:rPr>
                <w:rFonts w:ascii="Arial" w:hAnsi="Arial"/>
                <w:b/>
                <w:color w:val="FFFFFF"/>
                <w:sz w:val="18"/>
              </w:rPr>
              <w:t>LTV</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22CAA7D9" w14:textId="77777777" w:rsidR="006E14F4" w:rsidRDefault="00000000">
            <w:pPr>
              <w:spacing w:before="60" w:after="60"/>
              <w:jc w:val="center"/>
            </w:pPr>
            <w:r>
              <w:rPr>
                <w:rFonts w:ascii="Arial" w:hAnsi="Arial"/>
                <w:b/>
                <w:color w:val="FFFFFF"/>
                <w:sz w:val="18"/>
              </w:rPr>
              <w:t>Deal Size</w:t>
            </w:r>
          </w:p>
        </w:tc>
        <w:tc>
          <w:tcPr>
            <w:tcW w:w="1530" w:type="dxa"/>
            <w:tcBorders>
              <w:top w:val="single" w:sz="4" w:space="0" w:color="CCCCCC"/>
              <w:left w:val="single" w:sz="4" w:space="0" w:color="CCCCCC"/>
              <w:bottom w:val="single" w:sz="4" w:space="0" w:color="CCCCCC"/>
              <w:right w:val="single" w:sz="4" w:space="0" w:color="CCCCCC"/>
            </w:tcBorders>
            <w:shd w:val="clear" w:color="auto" w:fill="25AAE1"/>
          </w:tcPr>
          <w:p w14:paraId="5395E2C8" w14:textId="77777777" w:rsidR="006E14F4" w:rsidRDefault="00000000">
            <w:pPr>
              <w:spacing w:before="60" w:after="60"/>
              <w:jc w:val="center"/>
            </w:pPr>
            <w:r>
              <w:rPr>
                <w:rFonts w:ascii="Arial" w:hAnsi="Arial"/>
                <w:b/>
                <w:color w:val="FFFFFF"/>
                <w:sz w:val="18"/>
              </w:rPr>
              <w:t>Payment</w:t>
            </w:r>
          </w:p>
        </w:tc>
        <w:tc>
          <w:tcPr>
            <w:tcW w:w="900" w:type="dxa"/>
            <w:tcBorders>
              <w:top w:val="single" w:sz="4" w:space="0" w:color="CCCCCC"/>
              <w:left w:val="single" w:sz="4" w:space="0" w:color="CCCCCC"/>
              <w:bottom w:val="single" w:sz="4" w:space="0" w:color="CCCCCC"/>
              <w:right w:val="single" w:sz="4" w:space="0" w:color="CCCCCC"/>
            </w:tcBorders>
            <w:shd w:val="clear" w:color="auto" w:fill="25AAE1"/>
          </w:tcPr>
          <w:p w14:paraId="382A0047" w14:textId="77777777" w:rsidR="006E14F4" w:rsidRDefault="00000000">
            <w:pPr>
              <w:spacing w:before="60" w:after="60"/>
              <w:jc w:val="center"/>
            </w:pPr>
            <w:r>
              <w:rPr>
                <w:rFonts w:ascii="Arial" w:hAnsi="Arial"/>
                <w:b/>
                <w:color w:val="FFFFFF"/>
                <w:sz w:val="18"/>
              </w:rPr>
              <w:t>Srvc</w:t>
            </w:r>
          </w:p>
        </w:tc>
      </w:tr>
      <w:tr w:rsidR="006E14F4" w14:paraId="5C33F320"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FFFFFF"/>
          </w:tcPr>
          <w:p w14:paraId="08B732BA" w14:textId="77777777" w:rsidR="006E14F4" w:rsidRDefault="00000000">
            <w:pPr>
              <w:spacing w:before="40" w:after="40"/>
            </w:pPr>
            <w:r>
              <w:rPr>
                <w:rFonts w:ascii="Arial" w:hAnsi="Arial"/>
                <w:color w:val="333333"/>
                <w:sz w:val="18"/>
              </w:rPr>
              <w:t>Talent Management Consulting</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7721C79C" w14:textId="77777777" w:rsidR="006E14F4" w:rsidRDefault="00000000">
            <w:pPr>
              <w:spacing w:before="40" w:after="40"/>
            </w:pPr>
            <w:r>
              <w:rPr>
                <w:rFonts w:ascii="Arial" w:hAnsi="Arial"/>
                <w:color w:val="333333"/>
                <w:sz w:val="18"/>
              </w:rPr>
              <w:t>9.55</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65F394CB" w14:textId="77777777" w:rsidR="006E14F4" w:rsidRDefault="00000000">
            <w:pPr>
              <w:spacing w:before="40" w:after="40"/>
            </w:pPr>
            <w:r>
              <w:rPr>
                <w:rFonts w:ascii="Arial" w:hAnsi="Arial"/>
                <w:color w:val="333333"/>
                <w:sz w:val="18"/>
              </w:rPr>
              <w:t>$135K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4CA029F4" w14:textId="77777777" w:rsidR="006E14F4" w:rsidRDefault="00000000">
            <w:pPr>
              <w:spacing w:before="40" w:after="40"/>
            </w:pPr>
            <w:r>
              <w:rPr>
                <w:rFonts w:ascii="Arial" w:hAnsi="Arial"/>
                <w:color w:val="333333"/>
                <w:sz w:val="18"/>
              </w:rPr>
              <w:t>$45K</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Pr>
          <w:p w14:paraId="3776594C"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524C826A" w14:textId="77777777" w:rsidR="006E14F4" w:rsidRDefault="00000000">
            <w:pPr>
              <w:spacing w:before="40" w:after="40"/>
            </w:pPr>
            <w:r>
              <w:rPr>
                <w:rFonts w:ascii="Arial" w:hAnsi="Arial"/>
                <w:color w:val="333333"/>
                <w:sz w:val="18"/>
              </w:rPr>
              <w:t>2/5</w:t>
            </w:r>
          </w:p>
        </w:tc>
      </w:tr>
      <w:tr w:rsidR="006E14F4" w14:paraId="4516D97A"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F5F5F5"/>
          </w:tcPr>
          <w:p w14:paraId="5002EB90" w14:textId="77777777" w:rsidR="006E14F4" w:rsidRDefault="00000000">
            <w:pPr>
              <w:spacing w:before="40" w:after="40"/>
            </w:pPr>
            <w:r>
              <w:rPr>
                <w:rFonts w:ascii="Arial" w:hAnsi="Arial"/>
                <w:color w:val="333333"/>
                <w:sz w:val="18"/>
              </w:rPr>
              <w:t>Performance Management Consulting</w:t>
            </w:r>
          </w:p>
        </w:tc>
        <w:tc>
          <w:tcPr>
            <w:tcW w:w="990" w:type="dxa"/>
            <w:tcBorders>
              <w:top w:val="single" w:sz="4" w:space="0" w:color="CCCCCC"/>
              <w:left w:val="single" w:sz="4" w:space="0" w:color="CCCCCC"/>
              <w:bottom w:val="single" w:sz="4" w:space="0" w:color="CCCCCC"/>
              <w:right w:val="single" w:sz="4" w:space="0" w:color="CCCCCC"/>
            </w:tcBorders>
            <w:shd w:val="clear" w:color="auto" w:fill="F5F5F5"/>
          </w:tcPr>
          <w:p w14:paraId="1B13E475"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65301A9E" w14:textId="77777777" w:rsidR="006E14F4" w:rsidRDefault="00000000">
            <w:pPr>
              <w:spacing w:before="40" w:after="40"/>
            </w:pPr>
            <w:r>
              <w:rPr>
                <w:rFonts w:ascii="Arial" w:hAnsi="Arial"/>
                <w:color w:val="333333"/>
                <w:sz w:val="18"/>
              </w:rPr>
              <w:t>$135K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017A0F7F" w14:textId="77777777" w:rsidR="006E14F4" w:rsidRDefault="00000000">
            <w:pPr>
              <w:spacing w:before="40" w:after="40"/>
            </w:pPr>
            <w:r>
              <w:rPr>
                <w:rFonts w:ascii="Arial" w:hAnsi="Arial"/>
                <w:color w:val="333333"/>
                <w:sz w:val="18"/>
              </w:rPr>
              <w:t>$45K</w:t>
            </w:r>
          </w:p>
        </w:tc>
        <w:tc>
          <w:tcPr>
            <w:tcW w:w="1530" w:type="dxa"/>
            <w:tcBorders>
              <w:top w:val="single" w:sz="4" w:space="0" w:color="CCCCCC"/>
              <w:left w:val="single" w:sz="4" w:space="0" w:color="CCCCCC"/>
              <w:bottom w:val="single" w:sz="4" w:space="0" w:color="CCCCCC"/>
              <w:right w:val="single" w:sz="4" w:space="0" w:color="CCCCCC"/>
            </w:tcBorders>
            <w:shd w:val="clear" w:color="auto" w:fill="F5F5F5"/>
          </w:tcPr>
          <w:p w14:paraId="42B1246C"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Pr>
          <w:p w14:paraId="20CF204C" w14:textId="77777777" w:rsidR="006E14F4" w:rsidRDefault="00000000">
            <w:pPr>
              <w:spacing w:before="40" w:after="40"/>
            </w:pPr>
            <w:r>
              <w:rPr>
                <w:rFonts w:ascii="Arial" w:hAnsi="Arial"/>
                <w:color w:val="333333"/>
                <w:sz w:val="18"/>
              </w:rPr>
              <w:t>2/5</w:t>
            </w:r>
          </w:p>
        </w:tc>
      </w:tr>
      <w:tr w:rsidR="006E14F4" w14:paraId="2D6807EB"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FFFFFF"/>
          </w:tcPr>
          <w:p w14:paraId="18A1FD4E" w14:textId="77777777" w:rsidR="006E14F4" w:rsidRDefault="00000000">
            <w:pPr>
              <w:spacing w:before="40" w:after="40"/>
            </w:pPr>
            <w:r>
              <w:rPr>
                <w:rFonts w:ascii="Arial" w:hAnsi="Arial"/>
                <w:color w:val="333333"/>
                <w:sz w:val="18"/>
              </w:rPr>
              <w:t>HR Consulting Services</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197F66F7" w14:textId="77777777" w:rsidR="006E14F4" w:rsidRDefault="00000000">
            <w:pPr>
              <w:spacing w:before="40" w:after="40"/>
            </w:pPr>
            <w:r>
              <w:rPr>
                <w:rFonts w:ascii="Arial" w:hAnsi="Arial"/>
                <w:color w:val="333333"/>
                <w:sz w:val="18"/>
              </w:rPr>
              <w:t>9.19</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479DCC19" w14:textId="77777777" w:rsidR="006E14F4" w:rsidRDefault="00000000">
            <w:pPr>
              <w:spacing w:before="40" w:after="40"/>
            </w:pPr>
            <w:r>
              <w:rPr>
                <w:rFonts w:ascii="Arial" w:hAnsi="Arial"/>
                <w:color w:val="333333"/>
                <w:sz w:val="18"/>
              </w:rPr>
              <w:t>$126K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0BABC808" w14:textId="77777777" w:rsidR="006E14F4" w:rsidRDefault="00000000">
            <w:pPr>
              <w:spacing w:before="40" w:after="40"/>
            </w:pPr>
            <w:r>
              <w:rPr>
                <w:rFonts w:ascii="Arial" w:hAnsi="Arial"/>
                <w:color w:val="333333"/>
                <w:sz w:val="18"/>
              </w:rPr>
              <w:t>$42K</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Pr>
          <w:p w14:paraId="5825926D"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46F504A" w14:textId="77777777" w:rsidR="006E14F4" w:rsidRDefault="00000000">
            <w:pPr>
              <w:spacing w:before="40" w:after="40"/>
            </w:pPr>
            <w:r>
              <w:rPr>
                <w:rFonts w:ascii="Arial" w:hAnsi="Arial"/>
                <w:color w:val="333333"/>
                <w:sz w:val="18"/>
              </w:rPr>
              <w:t>2/5</w:t>
            </w:r>
          </w:p>
        </w:tc>
      </w:tr>
      <w:tr w:rsidR="006E14F4" w14:paraId="3D589617"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F5F5F5"/>
          </w:tcPr>
          <w:p w14:paraId="0B047E78" w14:textId="77777777" w:rsidR="006E14F4" w:rsidRDefault="00000000">
            <w:pPr>
              <w:spacing w:before="40" w:after="40"/>
            </w:pPr>
            <w:r>
              <w:rPr>
                <w:rFonts w:ascii="Arial" w:hAnsi="Arial"/>
                <w:color w:val="333333"/>
                <w:sz w:val="18"/>
              </w:rPr>
              <w:t>Labor Relations Consulting</w:t>
            </w:r>
          </w:p>
        </w:tc>
        <w:tc>
          <w:tcPr>
            <w:tcW w:w="990" w:type="dxa"/>
            <w:tcBorders>
              <w:top w:val="single" w:sz="4" w:space="0" w:color="CCCCCC"/>
              <w:left w:val="single" w:sz="4" w:space="0" w:color="CCCCCC"/>
              <w:bottom w:val="single" w:sz="4" w:space="0" w:color="CCCCCC"/>
              <w:right w:val="single" w:sz="4" w:space="0" w:color="CCCCCC"/>
            </w:tcBorders>
            <w:shd w:val="clear" w:color="auto" w:fill="F5F5F5"/>
          </w:tcPr>
          <w:p w14:paraId="467468A2" w14:textId="77777777" w:rsidR="006E14F4" w:rsidRDefault="00000000">
            <w:pPr>
              <w:spacing w:before="40" w:after="40"/>
            </w:pPr>
            <w:r>
              <w:rPr>
                <w:rFonts w:ascii="Arial" w:hAnsi="Arial"/>
                <w:color w:val="333333"/>
                <w:sz w:val="18"/>
              </w:rPr>
              <w:t>9.33</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7ADEDAAD" w14:textId="77777777" w:rsidR="006E14F4" w:rsidRDefault="00000000">
            <w:pPr>
              <w:spacing w:before="40" w:after="40"/>
            </w:pPr>
            <w:r>
              <w:rPr>
                <w:rFonts w:ascii="Arial" w:hAnsi="Arial"/>
                <w:color w:val="333333"/>
                <w:sz w:val="18"/>
              </w:rPr>
              <w:t>$126K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52781828" w14:textId="77777777" w:rsidR="006E14F4" w:rsidRDefault="00000000">
            <w:pPr>
              <w:spacing w:before="40" w:after="40"/>
            </w:pPr>
            <w:r>
              <w:rPr>
                <w:rFonts w:ascii="Arial" w:hAnsi="Arial"/>
                <w:color w:val="333333"/>
                <w:sz w:val="18"/>
              </w:rPr>
              <w:t>$42K</w:t>
            </w:r>
          </w:p>
        </w:tc>
        <w:tc>
          <w:tcPr>
            <w:tcW w:w="1530" w:type="dxa"/>
            <w:tcBorders>
              <w:top w:val="single" w:sz="4" w:space="0" w:color="CCCCCC"/>
              <w:left w:val="single" w:sz="4" w:space="0" w:color="CCCCCC"/>
              <w:bottom w:val="single" w:sz="4" w:space="0" w:color="CCCCCC"/>
              <w:right w:val="single" w:sz="4" w:space="0" w:color="CCCCCC"/>
            </w:tcBorders>
            <w:shd w:val="clear" w:color="auto" w:fill="F5F5F5"/>
          </w:tcPr>
          <w:p w14:paraId="6443935E"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Pr>
          <w:p w14:paraId="0F795904" w14:textId="77777777" w:rsidR="006E14F4" w:rsidRDefault="00000000">
            <w:pPr>
              <w:spacing w:before="40" w:after="40"/>
            </w:pPr>
            <w:r>
              <w:rPr>
                <w:rFonts w:ascii="Arial" w:hAnsi="Arial"/>
                <w:color w:val="333333"/>
                <w:sz w:val="18"/>
              </w:rPr>
              <w:t>2/5</w:t>
            </w:r>
          </w:p>
        </w:tc>
      </w:tr>
      <w:tr w:rsidR="006E14F4" w14:paraId="7D812E13" w14:textId="77777777" w:rsidTr="006430C2">
        <w:tc>
          <w:tcPr>
            <w:tcW w:w="3528" w:type="dxa"/>
            <w:tcBorders>
              <w:top w:val="single" w:sz="4" w:space="0" w:color="CCCCCC"/>
              <w:left w:val="single" w:sz="4" w:space="0" w:color="CCCCCC"/>
              <w:bottom w:val="single" w:sz="4" w:space="0" w:color="CCCCCC"/>
              <w:right w:val="single" w:sz="4" w:space="0" w:color="CCCCCC"/>
            </w:tcBorders>
            <w:shd w:val="clear" w:color="auto" w:fill="FFFFFF"/>
          </w:tcPr>
          <w:p w14:paraId="0A82CD92" w14:textId="77777777" w:rsidR="006E14F4" w:rsidRDefault="00000000">
            <w:pPr>
              <w:spacing w:before="40" w:after="40"/>
            </w:pPr>
            <w:r>
              <w:rPr>
                <w:rFonts w:ascii="Arial" w:hAnsi="Arial"/>
                <w:color w:val="333333"/>
                <w:sz w:val="18"/>
              </w:rPr>
              <w:t>Employee Relations Consulting</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57150C04" w14:textId="77777777" w:rsidR="006E14F4" w:rsidRDefault="00000000">
            <w:pPr>
              <w:spacing w:before="40" w:after="40"/>
            </w:pPr>
            <w:r>
              <w:rPr>
                <w:rFonts w:ascii="Arial" w:hAnsi="Arial"/>
                <w:color w:val="333333"/>
                <w:sz w:val="18"/>
              </w:rPr>
              <w:t>9.33</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5D7AD536" w14:textId="77777777" w:rsidR="006E14F4" w:rsidRDefault="00000000">
            <w:pPr>
              <w:spacing w:before="40" w:after="40"/>
            </w:pPr>
            <w:r>
              <w:rPr>
                <w:rFonts w:ascii="Arial" w:hAnsi="Arial"/>
                <w:color w:val="333333"/>
                <w:sz w:val="18"/>
              </w:rPr>
              <w:t>$126K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4C5257B3" w14:textId="77777777" w:rsidR="006E14F4" w:rsidRDefault="00000000">
            <w:pPr>
              <w:spacing w:before="40" w:after="40"/>
            </w:pPr>
            <w:r>
              <w:rPr>
                <w:rFonts w:ascii="Arial" w:hAnsi="Arial"/>
                <w:color w:val="333333"/>
                <w:sz w:val="18"/>
              </w:rPr>
              <w:t>$42K</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Pr>
          <w:p w14:paraId="0DFB5B20"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7EE3A014" w14:textId="77777777" w:rsidR="006E14F4" w:rsidRDefault="00000000">
            <w:pPr>
              <w:spacing w:before="40" w:after="40"/>
            </w:pPr>
            <w:r>
              <w:rPr>
                <w:rFonts w:ascii="Arial" w:hAnsi="Arial"/>
                <w:color w:val="333333"/>
                <w:sz w:val="18"/>
              </w:rPr>
              <w:t>2/5</w:t>
            </w:r>
          </w:p>
        </w:tc>
      </w:tr>
    </w:tbl>
    <w:p w14:paraId="5FD19732" w14:textId="77777777" w:rsidR="006E14F4" w:rsidRDefault="006E14F4"/>
    <w:p w14:paraId="06A24298" w14:textId="77777777" w:rsidR="006E14F4" w:rsidRDefault="00000000">
      <w:pPr>
        <w:spacing w:before="240" w:after="80"/>
      </w:pPr>
      <w:r>
        <w:rPr>
          <w:rFonts w:ascii="Arial" w:hAnsi="Arial"/>
          <w:b/>
          <w:color w:val="25AAE1"/>
          <w:sz w:val="26"/>
        </w:rPr>
        <w:t>Strategic Rationale</w:t>
      </w:r>
    </w:p>
    <w:p w14:paraId="19E16423" w14:textId="77777777" w:rsidR="006E14F4" w:rsidRDefault="00000000">
      <w:pPr>
        <w:spacing w:after="120"/>
      </w:pPr>
      <w:r>
        <w:rPr>
          <w:rFonts w:ascii="Arial" w:hAnsi="Arial"/>
          <w:color w:val="333333"/>
        </w:rPr>
        <w:t>HR consultants are fighting for the same CHROs and business owners on LinkedIn with nearly identical positioning. The enemy belief — 'HR consulting is reactive, compliance-focused, not strategic' — is universal and almost never challenged in their marketing. A well-positioned HR consultant with a strong content engine rewrites that belief before any competitor gets the meeting. These clients also become long-term retainers because HR challenges don't resolve — they evolve. Churn is low, LTV compounds.</w:t>
      </w:r>
    </w:p>
    <w:p w14:paraId="76CB5EEA" w14:textId="77777777" w:rsidR="006E14F4" w:rsidRDefault="006E14F4">
      <w:pPr>
        <w:pBdr>
          <w:bottom w:val="single" w:sz="4" w:space="1" w:color="25AAE1"/>
        </w:pBdr>
        <w:spacing w:before="240" w:after="240"/>
      </w:pPr>
    </w:p>
    <w:p w14:paraId="73052CCB" w14:textId="77777777" w:rsidR="006E14F4" w:rsidRDefault="00000000">
      <w:r>
        <w:br w:type="page"/>
      </w:r>
    </w:p>
    <w:p w14:paraId="28945644" w14:textId="77777777" w:rsidR="006E14F4" w:rsidRDefault="00000000">
      <w:pPr>
        <w:pBdr>
          <w:bottom w:val="single" w:sz="6" w:space="1" w:color="25AAE1"/>
        </w:pBdr>
        <w:spacing w:before="480" w:after="240"/>
      </w:pPr>
      <w:r>
        <w:rPr>
          <w:rFonts w:ascii="Arial" w:hAnsi="Arial"/>
          <w:b/>
          <w:color w:val="25AAE1"/>
          <w:sz w:val="48"/>
        </w:rPr>
        <w:lastRenderedPageBreak/>
        <w:t>Cluster 3 — Compliance &amp; Risk Consulting</w:t>
      </w:r>
    </w:p>
    <w:p w14:paraId="5DBE458B" w14:textId="77777777" w:rsidR="006E14F4" w:rsidRDefault="00000000">
      <w:pPr>
        <w:spacing w:after="120"/>
      </w:pPr>
      <w:r>
        <w:rPr>
          <w:rFonts w:ascii="Arial" w:hAnsi="Arial"/>
          <w:color w:val="333333"/>
        </w:rPr>
        <w:t>Regulatory complexity creates a credibility crisis for buyers — authority is the only safe harbor.</w:t>
      </w:r>
    </w:p>
    <w:p w14:paraId="677ED357" w14:textId="77777777" w:rsidR="006E14F4" w:rsidRDefault="00000000">
      <w:pPr>
        <w:pBdr>
          <w:left w:val="single" w:sz="12" w:space="6" w:color="25AAE1"/>
        </w:pBdr>
        <w:shd w:val="clear" w:color="auto" w:fill="EAF6FC"/>
        <w:spacing w:before="200"/>
        <w:ind w:left="360"/>
      </w:pPr>
      <w:r>
        <w:rPr>
          <w:rFonts w:ascii="Arial" w:hAnsi="Arial"/>
          <w:b/>
          <w:color w:val="25AAE1"/>
        </w:rPr>
        <w:t>When the stakes are regulatory — fines, shutdowns, liability — buyers don't shop on price. They buy certainty. That's the deepest convergence point on the Belief Track.</w:t>
      </w:r>
    </w:p>
    <w:tbl>
      <w:tblPr>
        <w:tblW w:w="0" w:type="auto"/>
        <w:tblLook w:val="04A0" w:firstRow="1" w:lastRow="0" w:firstColumn="1" w:lastColumn="0" w:noHBand="0" w:noVBand="1"/>
      </w:tblPr>
      <w:tblGrid>
        <w:gridCol w:w="3618"/>
        <w:gridCol w:w="1260"/>
        <w:gridCol w:w="1080"/>
        <w:gridCol w:w="1170"/>
        <w:gridCol w:w="1440"/>
        <w:gridCol w:w="990"/>
      </w:tblGrid>
      <w:tr w:rsidR="006E14F4" w14:paraId="2EBAC3EE" w14:textId="77777777" w:rsidTr="002D4D46">
        <w:tc>
          <w:tcPr>
            <w:tcW w:w="3618" w:type="dxa"/>
            <w:tcBorders>
              <w:top w:val="single" w:sz="4" w:space="0" w:color="CCCCCC"/>
              <w:left w:val="single" w:sz="4" w:space="0" w:color="CCCCCC"/>
              <w:bottom w:val="single" w:sz="4" w:space="0" w:color="CCCCCC"/>
              <w:right w:val="single" w:sz="4" w:space="0" w:color="CCCCCC"/>
            </w:tcBorders>
            <w:shd w:val="clear" w:color="auto" w:fill="25AAE1"/>
          </w:tcPr>
          <w:p w14:paraId="077E9563" w14:textId="77777777" w:rsidR="006E14F4" w:rsidRDefault="00000000">
            <w:pPr>
              <w:spacing w:before="60" w:after="60"/>
              <w:jc w:val="center"/>
            </w:pPr>
            <w:r>
              <w:rPr>
                <w:rFonts w:ascii="Arial" w:hAnsi="Arial"/>
                <w:b/>
                <w:color w:val="FFFFFF"/>
                <w:sz w:val="18"/>
              </w:rPr>
              <w:t>Niche</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1E35B635" w14:textId="77777777" w:rsidR="006E14F4" w:rsidRDefault="00000000">
            <w:pPr>
              <w:spacing w:before="60" w:after="60"/>
              <w:jc w:val="center"/>
            </w:pPr>
            <w:r>
              <w:rPr>
                <w:rFonts w:ascii="Arial" w:hAnsi="Arial"/>
                <w:b/>
                <w:color w:val="FFFFFF"/>
                <w:sz w:val="18"/>
              </w:rPr>
              <w:t>Composite</w:t>
            </w:r>
          </w:p>
        </w:tc>
        <w:tc>
          <w:tcPr>
            <w:tcW w:w="1080" w:type="dxa"/>
            <w:tcBorders>
              <w:top w:val="single" w:sz="4" w:space="0" w:color="CCCCCC"/>
              <w:left w:val="single" w:sz="4" w:space="0" w:color="CCCCCC"/>
              <w:bottom w:val="single" w:sz="4" w:space="0" w:color="CCCCCC"/>
              <w:right w:val="single" w:sz="4" w:space="0" w:color="CCCCCC"/>
            </w:tcBorders>
            <w:shd w:val="clear" w:color="auto" w:fill="25AAE1"/>
          </w:tcPr>
          <w:p w14:paraId="0D9BCE6C" w14:textId="77777777" w:rsidR="006E14F4" w:rsidRDefault="00000000">
            <w:pPr>
              <w:spacing w:before="60" w:after="60"/>
              <w:jc w:val="center"/>
            </w:pPr>
            <w:r>
              <w:rPr>
                <w:rFonts w:ascii="Arial" w:hAnsi="Arial"/>
                <w:b/>
                <w:color w:val="FFFFFF"/>
                <w:sz w:val="18"/>
              </w:rPr>
              <w:t>LTV</w:t>
            </w:r>
          </w:p>
        </w:tc>
        <w:tc>
          <w:tcPr>
            <w:tcW w:w="1170" w:type="dxa"/>
            <w:tcBorders>
              <w:top w:val="single" w:sz="4" w:space="0" w:color="CCCCCC"/>
              <w:left w:val="single" w:sz="4" w:space="0" w:color="CCCCCC"/>
              <w:bottom w:val="single" w:sz="4" w:space="0" w:color="CCCCCC"/>
              <w:right w:val="single" w:sz="4" w:space="0" w:color="CCCCCC"/>
            </w:tcBorders>
            <w:shd w:val="clear" w:color="auto" w:fill="25AAE1"/>
          </w:tcPr>
          <w:p w14:paraId="2D4ABD6F" w14:textId="77777777" w:rsidR="006E14F4" w:rsidRDefault="00000000">
            <w:pPr>
              <w:spacing w:before="60" w:after="60"/>
              <w:jc w:val="center"/>
            </w:pPr>
            <w:r>
              <w:rPr>
                <w:rFonts w:ascii="Arial" w:hAnsi="Arial"/>
                <w:b/>
                <w:color w:val="FFFFFF"/>
                <w:sz w:val="18"/>
              </w:rPr>
              <w:t>Deal Size</w:t>
            </w:r>
          </w:p>
        </w:tc>
        <w:tc>
          <w:tcPr>
            <w:tcW w:w="1440" w:type="dxa"/>
            <w:tcBorders>
              <w:top w:val="single" w:sz="4" w:space="0" w:color="CCCCCC"/>
              <w:left w:val="single" w:sz="4" w:space="0" w:color="CCCCCC"/>
              <w:bottom w:val="single" w:sz="4" w:space="0" w:color="CCCCCC"/>
              <w:right w:val="single" w:sz="4" w:space="0" w:color="CCCCCC"/>
            </w:tcBorders>
            <w:shd w:val="clear" w:color="auto" w:fill="25AAE1"/>
          </w:tcPr>
          <w:p w14:paraId="275207A5" w14:textId="77777777" w:rsidR="006E14F4" w:rsidRDefault="00000000">
            <w:pPr>
              <w:spacing w:before="60" w:after="60"/>
              <w:jc w:val="center"/>
            </w:pPr>
            <w:r>
              <w:rPr>
                <w:rFonts w:ascii="Arial" w:hAnsi="Arial"/>
                <w:b/>
                <w:color w:val="FFFFFF"/>
                <w:sz w:val="18"/>
              </w:rPr>
              <w:t>Payment</w:t>
            </w:r>
          </w:p>
        </w:tc>
        <w:tc>
          <w:tcPr>
            <w:tcW w:w="990" w:type="dxa"/>
            <w:tcBorders>
              <w:top w:val="single" w:sz="4" w:space="0" w:color="CCCCCC"/>
              <w:left w:val="single" w:sz="4" w:space="0" w:color="CCCCCC"/>
              <w:bottom w:val="single" w:sz="4" w:space="0" w:color="CCCCCC"/>
              <w:right w:val="single" w:sz="4" w:space="0" w:color="CCCCCC"/>
            </w:tcBorders>
            <w:shd w:val="clear" w:color="auto" w:fill="25AAE1"/>
          </w:tcPr>
          <w:p w14:paraId="10FC00E3" w14:textId="77777777" w:rsidR="006E14F4" w:rsidRDefault="00000000">
            <w:pPr>
              <w:spacing w:before="60" w:after="60"/>
              <w:jc w:val="center"/>
            </w:pPr>
            <w:r>
              <w:rPr>
                <w:rFonts w:ascii="Arial" w:hAnsi="Arial"/>
                <w:b/>
                <w:color w:val="FFFFFF"/>
                <w:sz w:val="18"/>
              </w:rPr>
              <w:t>Srvc</w:t>
            </w:r>
          </w:p>
        </w:tc>
      </w:tr>
      <w:tr w:rsidR="006E14F4" w14:paraId="4950B6DF" w14:textId="77777777" w:rsidTr="002D4D46">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4DFB5588" w14:textId="77777777" w:rsidR="006E14F4" w:rsidRDefault="00000000">
            <w:pPr>
              <w:spacing w:before="40" w:after="40"/>
            </w:pPr>
            <w:r>
              <w:rPr>
                <w:rFonts w:ascii="Arial" w:hAnsi="Arial"/>
                <w:color w:val="333333"/>
                <w:sz w:val="18"/>
              </w:rPr>
              <w:t>Healthcare Compliance Consulting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3E0D149A" w14:textId="77777777" w:rsidR="006E14F4" w:rsidRDefault="00000000">
            <w:pPr>
              <w:spacing w:before="40" w:after="40"/>
            </w:pPr>
            <w:r>
              <w:rPr>
                <w:rFonts w:ascii="Arial" w:hAnsi="Arial"/>
                <w:color w:val="333333"/>
                <w:sz w:val="18"/>
              </w:rPr>
              <w:t>9.33</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16DC3BC1" w14:textId="77777777" w:rsidR="006E14F4" w:rsidRDefault="00000000">
            <w:pPr>
              <w:spacing w:before="40" w:after="40"/>
            </w:pPr>
            <w:r>
              <w:rPr>
                <w:rFonts w:ascii="Arial" w:hAnsi="Arial"/>
                <w:color w:val="333333"/>
                <w:sz w:val="18"/>
              </w:rPr>
              <w:t>$126K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19ED0C7E" w14:textId="77777777" w:rsidR="006E14F4" w:rsidRDefault="00000000">
            <w:pPr>
              <w:spacing w:before="40" w:after="40"/>
            </w:pPr>
            <w:r>
              <w:rPr>
                <w:rFonts w:ascii="Arial" w:hAnsi="Arial"/>
                <w:color w:val="333333"/>
                <w:sz w:val="18"/>
              </w:rPr>
              <w:t>$42K</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6050C26"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7AAFE77E" w14:textId="77777777" w:rsidR="006E14F4" w:rsidRDefault="00000000">
            <w:pPr>
              <w:spacing w:before="40" w:after="40"/>
            </w:pPr>
            <w:r>
              <w:rPr>
                <w:rFonts w:ascii="Arial" w:hAnsi="Arial"/>
                <w:color w:val="333333"/>
                <w:sz w:val="18"/>
              </w:rPr>
              <w:t>2/5</w:t>
            </w:r>
          </w:p>
        </w:tc>
      </w:tr>
      <w:tr w:rsidR="006E14F4" w14:paraId="54C1DFBF" w14:textId="77777777" w:rsidTr="002D4D46">
        <w:tc>
          <w:tcPr>
            <w:tcW w:w="3618" w:type="dxa"/>
            <w:tcBorders>
              <w:top w:val="single" w:sz="4" w:space="0" w:color="CCCCCC"/>
              <w:left w:val="single" w:sz="4" w:space="0" w:color="CCCCCC"/>
              <w:bottom w:val="single" w:sz="4" w:space="0" w:color="CCCCCC"/>
              <w:right w:val="single" w:sz="4" w:space="0" w:color="CCCCCC"/>
            </w:tcBorders>
            <w:shd w:val="clear" w:color="auto" w:fill="F5F5F5"/>
          </w:tcPr>
          <w:p w14:paraId="38846AA5" w14:textId="77777777" w:rsidR="006E14F4" w:rsidRDefault="00000000">
            <w:pPr>
              <w:spacing w:before="40" w:after="40"/>
            </w:pPr>
            <w:r>
              <w:rPr>
                <w:rFonts w:ascii="Arial" w:hAnsi="Arial"/>
                <w:color w:val="333333"/>
                <w:sz w:val="18"/>
              </w:rPr>
              <w:t>Food Safety Consulting</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4AFC096B" w14:textId="77777777" w:rsidR="006E14F4" w:rsidRDefault="00000000">
            <w:pPr>
              <w:spacing w:before="40" w:after="40"/>
            </w:pPr>
            <w:r>
              <w:rPr>
                <w:rFonts w:ascii="Arial" w:hAnsi="Arial"/>
                <w:color w:val="333333"/>
                <w:sz w:val="18"/>
              </w:rPr>
              <w:t>9.33</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420220AB" w14:textId="77777777" w:rsidR="006E14F4" w:rsidRDefault="00000000">
            <w:pPr>
              <w:spacing w:before="40" w:after="40"/>
            </w:pPr>
            <w:r>
              <w:rPr>
                <w:rFonts w:ascii="Arial" w:hAnsi="Arial"/>
                <w:color w:val="333333"/>
                <w:sz w:val="18"/>
              </w:rPr>
              <w:t>$126K</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66AC0EF2" w14:textId="77777777" w:rsidR="006E14F4" w:rsidRDefault="00000000">
            <w:pPr>
              <w:spacing w:before="40" w:after="40"/>
            </w:pPr>
            <w:r>
              <w:rPr>
                <w:rFonts w:ascii="Arial" w:hAnsi="Arial"/>
                <w:color w:val="333333"/>
                <w:sz w:val="18"/>
              </w:rPr>
              <w:t>$42K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Pr>
          <w:p w14:paraId="71C6370C"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5F5F5"/>
          </w:tcPr>
          <w:p w14:paraId="5C3ABF18" w14:textId="77777777" w:rsidR="006E14F4" w:rsidRDefault="00000000">
            <w:pPr>
              <w:spacing w:before="40" w:after="40"/>
            </w:pPr>
            <w:r>
              <w:rPr>
                <w:rFonts w:ascii="Arial" w:hAnsi="Arial"/>
                <w:color w:val="333333"/>
                <w:sz w:val="18"/>
              </w:rPr>
              <w:t>2/5</w:t>
            </w:r>
          </w:p>
        </w:tc>
      </w:tr>
      <w:tr w:rsidR="006E14F4" w14:paraId="2D91B0AE" w14:textId="77777777" w:rsidTr="002D4D46">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2CB18F09" w14:textId="77777777" w:rsidR="006E14F4" w:rsidRDefault="00000000">
            <w:pPr>
              <w:spacing w:before="40" w:after="40"/>
            </w:pPr>
            <w:r>
              <w:rPr>
                <w:rFonts w:ascii="Arial" w:hAnsi="Arial"/>
                <w:color w:val="333333"/>
                <w:sz w:val="18"/>
              </w:rPr>
              <w:t>Energy Procurement Consulting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32C90E48"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6635BAF8"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36529BA1" w14:textId="77777777" w:rsidR="006E14F4" w:rsidRDefault="00000000">
            <w:pPr>
              <w:spacing w:before="40" w:after="40"/>
            </w:pPr>
            <w:r>
              <w:rPr>
                <w:rFonts w:ascii="Arial" w:hAnsi="Arial"/>
                <w:color w:val="333333"/>
                <w:sz w:val="18"/>
              </w:rPr>
              <w:t>$48K</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A2939AC"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3A962838" w14:textId="77777777" w:rsidR="006E14F4" w:rsidRDefault="00000000">
            <w:pPr>
              <w:spacing w:before="40" w:after="40"/>
            </w:pPr>
            <w:r>
              <w:rPr>
                <w:rFonts w:ascii="Arial" w:hAnsi="Arial"/>
                <w:color w:val="333333"/>
                <w:sz w:val="18"/>
              </w:rPr>
              <w:t>2/5</w:t>
            </w:r>
          </w:p>
        </w:tc>
      </w:tr>
    </w:tbl>
    <w:p w14:paraId="4933CFDD" w14:textId="77777777" w:rsidR="006E14F4" w:rsidRDefault="006E14F4"/>
    <w:p w14:paraId="63BA2427" w14:textId="77777777" w:rsidR="006E14F4" w:rsidRDefault="00000000">
      <w:pPr>
        <w:spacing w:before="240" w:after="80"/>
      </w:pPr>
      <w:r>
        <w:rPr>
          <w:rFonts w:ascii="Arial" w:hAnsi="Arial"/>
          <w:b/>
          <w:color w:val="25AAE1"/>
          <w:sz w:val="26"/>
        </w:rPr>
        <w:t>Strategic Rationale</w:t>
      </w:r>
    </w:p>
    <w:p w14:paraId="7709E852" w14:textId="77777777" w:rsidR="006E14F4" w:rsidRDefault="00000000">
      <w:pPr>
        <w:spacing w:after="120"/>
      </w:pPr>
      <w:r>
        <w:rPr>
          <w:rFonts w:ascii="Arial" w:hAnsi="Arial"/>
          <w:color w:val="333333"/>
        </w:rPr>
        <w:t>When regulatory consequences are on the table — OCR audits, FDA violations, energy contract penalties — buyers make decisions based on perceived safety, not price comparison. A compliance consultant with a visible, expert content presence is the obvious safe choice. A consultant with no content presence is invisible and indistinguishable from the next firm. These markets respond exceptionally well to the Belief-to-Buy Framework because the emotional track — Dissatisfaction → Contrast → Desire → Urgency → Relief — is already primed. We just have to show up as the relief.</w:t>
      </w:r>
    </w:p>
    <w:p w14:paraId="5222912B" w14:textId="77777777" w:rsidR="006E14F4" w:rsidRDefault="006E14F4">
      <w:pPr>
        <w:pBdr>
          <w:bottom w:val="single" w:sz="4" w:space="1" w:color="25AAE1"/>
        </w:pBdr>
        <w:spacing w:before="240" w:after="240"/>
      </w:pPr>
    </w:p>
    <w:p w14:paraId="1327F05F" w14:textId="77777777" w:rsidR="006E14F4" w:rsidRDefault="00000000">
      <w:r>
        <w:br w:type="page"/>
      </w:r>
    </w:p>
    <w:p w14:paraId="7E3D2681" w14:textId="77777777" w:rsidR="006E14F4" w:rsidRDefault="00000000">
      <w:pPr>
        <w:pBdr>
          <w:bottom w:val="single" w:sz="6" w:space="1" w:color="25AAE1"/>
        </w:pBdr>
        <w:spacing w:before="480" w:after="240"/>
      </w:pPr>
      <w:r>
        <w:rPr>
          <w:rFonts w:ascii="Arial" w:hAnsi="Arial"/>
          <w:b/>
          <w:color w:val="25AAE1"/>
          <w:sz w:val="48"/>
        </w:rPr>
        <w:lastRenderedPageBreak/>
        <w:t>Cluster 4 — Specialty Consulting</w:t>
      </w:r>
    </w:p>
    <w:p w14:paraId="0AFB1356" w14:textId="77777777" w:rsidR="006E14F4" w:rsidRDefault="00000000">
      <w:pPr>
        <w:spacing w:after="120"/>
      </w:pPr>
      <w:r>
        <w:rPr>
          <w:rFonts w:ascii="Arial" w:hAnsi="Arial"/>
          <w:color w:val="333333"/>
        </w:rPr>
        <w:t>Niche expertise commanding premium retainers. Authority is the only meaningful differentiator.</w:t>
      </w:r>
    </w:p>
    <w:p w14:paraId="5D217014" w14:textId="77777777" w:rsidR="006E14F4" w:rsidRDefault="00000000">
      <w:pPr>
        <w:pBdr>
          <w:left w:val="single" w:sz="12" w:space="6" w:color="25AAE1"/>
        </w:pBdr>
        <w:shd w:val="clear" w:color="auto" w:fill="EAF6FC"/>
        <w:spacing w:before="200"/>
        <w:ind w:left="360"/>
      </w:pPr>
      <w:r>
        <w:rPr>
          <w:rFonts w:ascii="Arial" w:hAnsi="Arial"/>
          <w:b/>
          <w:color w:val="25AAE1"/>
        </w:rPr>
        <w:t>Buyers in these markets have almost no framework for evaluating providers — they default to whoever looks most credible. The practitioner who owns the content space owns the category.</w:t>
      </w:r>
    </w:p>
    <w:tbl>
      <w:tblPr>
        <w:tblW w:w="0" w:type="auto"/>
        <w:tblLook w:val="04A0" w:firstRow="1" w:lastRow="0" w:firstColumn="1" w:lastColumn="0" w:noHBand="0" w:noVBand="1"/>
      </w:tblPr>
      <w:tblGrid>
        <w:gridCol w:w="3618"/>
        <w:gridCol w:w="1350"/>
        <w:gridCol w:w="1170"/>
        <w:gridCol w:w="1170"/>
        <w:gridCol w:w="1260"/>
        <w:gridCol w:w="990"/>
      </w:tblGrid>
      <w:tr w:rsidR="006E14F4" w14:paraId="4A56557F" w14:textId="77777777" w:rsidTr="001C1BC0">
        <w:tc>
          <w:tcPr>
            <w:tcW w:w="3618" w:type="dxa"/>
            <w:tcBorders>
              <w:top w:val="single" w:sz="4" w:space="0" w:color="CCCCCC"/>
              <w:left w:val="single" w:sz="4" w:space="0" w:color="CCCCCC"/>
              <w:bottom w:val="single" w:sz="4" w:space="0" w:color="CCCCCC"/>
              <w:right w:val="single" w:sz="4" w:space="0" w:color="CCCCCC"/>
            </w:tcBorders>
            <w:shd w:val="clear" w:color="auto" w:fill="25AAE1"/>
          </w:tcPr>
          <w:p w14:paraId="66D5A50D" w14:textId="77777777" w:rsidR="006E14F4" w:rsidRDefault="00000000">
            <w:pPr>
              <w:spacing w:before="60" w:after="60"/>
              <w:jc w:val="center"/>
            </w:pPr>
            <w:r>
              <w:rPr>
                <w:rFonts w:ascii="Arial" w:hAnsi="Arial"/>
                <w:b/>
                <w:color w:val="FFFFFF"/>
                <w:sz w:val="18"/>
              </w:rPr>
              <w:t>Niche</w:t>
            </w:r>
          </w:p>
        </w:tc>
        <w:tc>
          <w:tcPr>
            <w:tcW w:w="1350" w:type="dxa"/>
            <w:tcBorders>
              <w:top w:val="single" w:sz="4" w:space="0" w:color="CCCCCC"/>
              <w:left w:val="single" w:sz="4" w:space="0" w:color="CCCCCC"/>
              <w:bottom w:val="single" w:sz="4" w:space="0" w:color="CCCCCC"/>
              <w:right w:val="single" w:sz="4" w:space="0" w:color="CCCCCC"/>
            </w:tcBorders>
            <w:shd w:val="clear" w:color="auto" w:fill="25AAE1"/>
          </w:tcPr>
          <w:p w14:paraId="2D29D23E" w14:textId="77777777" w:rsidR="006E14F4" w:rsidRDefault="00000000">
            <w:pPr>
              <w:spacing w:before="60" w:after="60"/>
              <w:jc w:val="center"/>
            </w:pPr>
            <w:r>
              <w:rPr>
                <w:rFonts w:ascii="Arial" w:hAnsi="Arial"/>
                <w:b/>
                <w:color w:val="FFFFFF"/>
                <w:sz w:val="18"/>
              </w:rPr>
              <w:t>Composite</w:t>
            </w:r>
          </w:p>
        </w:tc>
        <w:tc>
          <w:tcPr>
            <w:tcW w:w="1170" w:type="dxa"/>
            <w:tcBorders>
              <w:top w:val="single" w:sz="4" w:space="0" w:color="CCCCCC"/>
              <w:left w:val="single" w:sz="4" w:space="0" w:color="CCCCCC"/>
              <w:bottom w:val="single" w:sz="4" w:space="0" w:color="CCCCCC"/>
              <w:right w:val="single" w:sz="4" w:space="0" w:color="CCCCCC"/>
            </w:tcBorders>
            <w:shd w:val="clear" w:color="auto" w:fill="25AAE1"/>
          </w:tcPr>
          <w:p w14:paraId="38736B4B" w14:textId="77777777" w:rsidR="006E14F4" w:rsidRDefault="00000000">
            <w:pPr>
              <w:spacing w:before="60" w:after="60"/>
              <w:jc w:val="center"/>
            </w:pPr>
            <w:r>
              <w:rPr>
                <w:rFonts w:ascii="Arial" w:hAnsi="Arial"/>
                <w:b/>
                <w:color w:val="FFFFFF"/>
                <w:sz w:val="18"/>
              </w:rPr>
              <w:t>LTV</w:t>
            </w:r>
          </w:p>
        </w:tc>
        <w:tc>
          <w:tcPr>
            <w:tcW w:w="1170" w:type="dxa"/>
            <w:tcBorders>
              <w:top w:val="single" w:sz="4" w:space="0" w:color="CCCCCC"/>
              <w:left w:val="single" w:sz="4" w:space="0" w:color="CCCCCC"/>
              <w:bottom w:val="single" w:sz="4" w:space="0" w:color="CCCCCC"/>
              <w:right w:val="single" w:sz="4" w:space="0" w:color="CCCCCC"/>
            </w:tcBorders>
            <w:shd w:val="clear" w:color="auto" w:fill="25AAE1"/>
          </w:tcPr>
          <w:p w14:paraId="3EE7DCC2" w14:textId="77777777" w:rsidR="006E14F4" w:rsidRDefault="00000000">
            <w:pPr>
              <w:spacing w:before="60" w:after="60"/>
              <w:jc w:val="center"/>
            </w:pPr>
            <w:r>
              <w:rPr>
                <w:rFonts w:ascii="Arial" w:hAnsi="Arial"/>
                <w:b/>
                <w:color w:val="FFFFFF"/>
                <w:sz w:val="18"/>
              </w:rPr>
              <w:t>Deal Size</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600CE760" w14:textId="77777777" w:rsidR="006E14F4" w:rsidRDefault="00000000">
            <w:pPr>
              <w:spacing w:before="60" w:after="60"/>
              <w:jc w:val="center"/>
            </w:pPr>
            <w:r>
              <w:rPr>
                <w:rFonts w:ascii="Arial" w:hAnsi="Arial"/>
                <w:b/>
                <w:color w:val="FFFFFF"/>
                <w:sz w:val="18"/>
              </w:rPr>
              <w:t>Payment</w:t>
            </w:r>
          </w:p>
        </w:tc>
        <w:tc>
          <w:tcPr>
            <w:tcW w:w="990" w:type="dxa"/>
            <w:tcBorders>
              <w:top w:val="single" w:sz="4" w:space="0" w:color="CCCCCC"/>
              <w:left w:val="single" w:sz="4" w:space="0" w:color="CCCCCC"/>
              <w:bottom w:val="single" w:sz="4" w:space="0" w:color="CCCCCC"/>
              <w:right w:val="single" w:sz="4" w:space="0" w:color="CCCCCC"/>
            </w:tcBorders>
            <w:shd w:val="clear" w:color="auto" w:fill="25AAE1"/>
          </w:tcPr>
          <w:p w14:paraId="6A15331A" w14:textId="77777777" w:rsidR="006E14F4" w:rsidRDefault="00000000">
            <w:pPr>
              <w:spacing w:before="60" w:after="60"/>
              <w:jc w:val="center"/>
            </w:pPr>
            <w:r>
              <w:rPr>
                <w:rFonts w:ascii="Arial" w:hAnsi="Arial"/>
                <w:b/>
                <w:color w:val="FFFFFF"/>
                <w:sz w:val="18"/>
              </w:rPr>
              <w:t>Srvc</w:t>
            </w:r>
          </w:p>
        </w:tc>
      </w:tr>
      <w:tr w:rsidR="006E14F4" w14:paraId="6DA297C8" w14:textId="77777777" w:rsidTr="001C1BC0">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6D1AB5F0" w14:textId="77777777" w:rsidR="006E14F4" w:rsidRDefault="00000000">
            <w:pPr>
              <w:spacing w:before="40" w:after="40"/>
            </w:pPr>
            <w:r>
              <w:rPr>
                <w:rFonts w:ascii="Arial" w:hAnsi="Arial"/>
                <w:color w:val="333333"/>
                <w:sz w:val="18"/>
              </w:rPr>
              <w:t>Hotel Revenue Management</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Pr>
          <w:p w14:paraId="34C298FF" w14:textId="77777777" w:rsidR="006E14F4" w:rsidRDefault="00000000">
            <w:pPr>
              <w:spacing w:before="40" w:after="40"/>
            </w:pPr>
            <w:r>
              <w:rPr>
                <w:rFonts w:ascii="Arial" w:hAnsi="Arial"/>
                <w:color w:val="333333"/>
                <w:sz w:val="18"/>
              </w:rPr>
              <w:t>9.60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28743C30"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0E35D734" w14:textId="77777777" w:rsidR="006E14F4" w:rsidRDefault="00000000">
            <w:pPr>
              <w:spacing w:before="40" w:after="40"/>
            </w:pPr>
            <w:r>
              <w:rPr>
                <w:rFonts w:ascii="Arial" w:hAnsi="Arial"/>
                <w:color w:val="333333"/>
                <w:sz w:val="18"/>
              </w:rPr>
              <w:t>$48K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428DB098"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50BC94BB" w14:textId="77777777" w:rsidR="006E14F4" w:rsidRDefault="00000000">
            <w:pPr>
              <w:spacing w:before="40" w:after="40"/>
            </w:pPr>
            <w:r>
              <w:rPr>
                <w:rFonts w:ascii="Arial" w:hAnsi="Arial"/>
                <w:color w:val="333333"/>
                <w:sz w:val="18"/>
              </w:rPr>
              <w:t>2/5</w:t>
            </w:r>
          </w:p>
        </w:tc>
      </w:tr>
      <w:tr w:rsidR="006E14F4" w14:paraId="48D228C4" w14:textId="77777777" w:rsidTr="001C1BC0">
        <w:tc>
          <w:tcPr>
            <w:tcW w:w="3618" w:type="dxa"/>
            <w:tcBorders>
              <w:top w:val="single" w:sz="4" w:space="0" w:color="CCCCCC"/>
              <w:left w:val="single" w:sz="4" w:space="0" w:color="CCCCCC"/>
              <w:bottom w:val="single" w:sz="4" w:space="0" w:color="CCCCCC"/>
              <w:right w:val="single" w:sz="4" w:space="0" w:color="CCCCCC"/>
            </w:tcBorders>
            <w:shd w:val="clear" w:color="auto" w:fill="F5F5F5"/>
          </w:tcPr>
          <w:p w14:paraId="11A5C94C" w14:textId="77777777" w:rsidR="006E14F4" w:rsidRDefault="00000000">
            <w:pPr>
              <w:spacing w:before="40" w:after="40"/>
            </w:pPr>
            <w:r>
              <w:rPr>
                <w:rFonts w:ascii="Arial" w:hAnsi="Arial"/>
                <w:color w:val="333333"/>
                <w:sz w:val="18"/>
              </w:rPr>
              <w:t>Emergency Management Consulting</w:t>
            </w:r>
          </w:p>
        </w:tc>
        <w:tc>
          <w:tcPr>
            <w:tcW w:w="1350" w:type="dxa"/>
            <w:tcBorders>
              <w:top w:val="single" w:sz="4" w:space="0" w:color="CCCCCC"/>
              <w:left w:val="single" w:sz="4" w:space="0" w:color="CCCCCC"/>
              <w:bottom w:val="single" w:sz="4" w:space="0" w:color="CCCCCC"/>
              <w:right w:val="single" w:sz="4" w:space="0" w:color="CCCCCC"/>
            </w:tcBorders>
            <w:shd w:val="clear" w:color="auto" w:fill="F5F5F5"/>
          </w:tcPr>
          <w:p w14:paraId="202822FB" w14:textId="77777777" w:rsidR="006E14F4" w:rsidRDefault="00000000">
            <w:pPr>
              <w:spacing w:before="40" w:after="40"/>
            </w:pPr>
            <w:r>
              <w:rPr>
                <w:rFonts w:ascii="Arial" w:hAnsi="Arial"/>
                <w:color w:val="333333"/>
                <w:sz w:val="18"/>
              </w:rPr>
              <w:t>9.60</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3ED2BDC4"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35C6E617" w14:textId="77777777" w:rsidR="006E14F4" w:rsidRDefault="00000000">
            <w:pPr>
              <w:spacing w:before="40" w:after="40"/>
            </w:pPr>
            <w:r>
              <w:rPr>
                <w:rFonts w:ascii="Arial" w:hAnsi="Arial"/>
                <w:color w:val="333333"/>
                <w:sz w:val="18"/>
              </w:rPr>
              <w:t>$48K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2A75CAB0"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5F5F5"/>
          </w:tcPr>
          <w:p w14:paraId="03ED7C9C" w14:textId="77777777" w:rsidR="006E14F4" w:rsidRDefault="00000000">
            <w:pPr>
              <w:spacing w:before="40" w:after="40"/>
            </w:pPr>
            <w:r>
              <w:rPr>
                <w:rFonts w:ascii="Arial" w:hAnsi="Arial"/>
                <w:color w:val="333333"/>
                <w:sz w:val="18"/>
              </w:rPr>
              <w:t>2/5</w:t>
            </w:r>
          </w:p>
        </w:tc>
      </w:tr>
      <w:tr w:rsidR="006E14F4" w14:paraId="0C2338AF" w14:textId="77777777" w:rsidTr="001C1BC0">
        <w:tc>
          <w:tcPr>
            <w:tcW w:w="3618" w:type="dxa"/>
            <w:tcBorders>
              <w:top w:val="single" w:sz="4" w:space="0" w:color="CCCCCC"/>
              <w:left w:val="single" w:sz="4" w:space="0" w:color="CCCCCC"/>
              <w:bottom w:val="single" w:sz="4" w:space="0" w:color="CCCCCC"/>
              <w:right w:val="single" w:sz="4" w:space="0" w:color="CCCCCC"/>
            </w:tcBorders>
            <w:shd w:val="clear" w:color="auto" w:fill="FFFFFF"/>
          </w:tcPr>
          <w:p w14:paraId="4172B49B" w14:textId="77777777" w:rsidR="006E14F4" w:rsidRDefault="00000000">
            <w:pPr>
              <w:spacing w:before="40" w:after="40"/>
            </w:pPr>
            <w:r>
              <w:rPr>
                <w:rFonts w:ascii="Arial" w:hAnsi="Arial"/>
                <w:color w:val="333333"/>
                <w:sz w:val="18"/>
              </w:rPr>
              <w:t>Rights Management Services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Pr>
          <w:p w14:paraId="68876A22" w14:textId="77777777" w:rsidR="006E14F4" w:rsidRDefault="00000000">
            <w:pPr>
              <w:spacing w:before="40" w:after="40"/>
            </w:pPr>
            <w:r>
              <w:rPr>
                <w:rFonts w:ascii="Arial" w:hAnsi="Arial"/>
                <w:color w:val="333333"/>
                <w:sz w:val="18"/>
              </w:rPr>
              <w:t>9.60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2DFF93A9" w14:textId="77777777" w:rsidR="006E14F4" w:rsidRDefault="00000000">
            <w:pPr>
              <w:spacing w:before="40" w:after="40"/>
            </w:pPr>
            <w:r>
              <w:rPr>
                <w:rFonts w:ascii="Arial" w:hAnsi="Arial"/>
                <w:color w:val="333333"/>
                <w:sz w:val="18"/>
              </w:rPr>
              <w:t>$135K</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Pr>
          <w:p w14:paraId="40D09728" w14:textId="77777777" w:rsidR="006E14F4" w:rsidRDefault="00000000">
            <w:pPr>
              <w:spacing w:before="40" w:after="40"/>
            </w:pPr>
            <w:r>
              <w:rPr>
                <w:rFonts w:ascii="Arial" w:hAnsi="Arial"/>
                <w:color w:val="333333"/>
                <w:sz w:val="18"/>
              </w:rPr>
              <w:t>$45K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1D43AE6D"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Pr>
          <w:p w14:paraId="48875DB8" w14:textId="77777777" w:rsidR="006E14F4" w:rsidRDefault="00000000">
            <w:pPr>
              <w:spacing w:before="40" w:after="40"/>
            </w:pPr>
            <w:r>
              <w:rPr>
                <w:rFonts w:ascii="Arial" w:hAnsi="Arial"/>
                <w:color w:val="333333"/>
                <w:sz w:val="18"/>
              </w:rPr>
              <w:t>2/5</w:t>
            </w:r>
          </w:p>
        </w:tc>
      </w:tr>
      <w:tr w:rsidR="006E14F4" w14:paraId="4F579AAF" w14:textId="77777777" w:rsidTr="001C1BC0">
        <w:tc>
          <w:tcPr>
            <w:tcW w:w="3618" w:type="dxa"/>
            <w:tcBorders>
              <w:top w:val="single" w:sz="4" w:space="0" w:color="CCCCCC"/>
              <w:left w:val="single" w:sz="4" w:space="0" w:color="CCCCCC"/>
              <w:bottom w:val="single" w:sz="4" w:space="0" w:color="CCCCCC"/>
              <w:right w:val="single" w:sz="4" w:space="0" w:color="CCCCCC"/>
            </w:tcBorders>
            <w:shd w:val="clear" w:color="auto" w:fill="F5F5F5"/>
          </w:tcPr>
          <w:p w14:paraId="3E424713" w14:textId="77777777" w:rsidR="006E14F4" w:rsidRDefault="00000000">
            <w:pPr>
              <w:spacing w:before="40" w:after="40"/>
            </w:pPr>
            <w:r>
              <w:rPr>
                <w:rFonts w:ascii="Arial" w:hAnsi="Arial"/>
                <w:color w:val="333333"/>
                <w:sz w:val="18"/>
              </w:rPr>
              <w:t>Supply Chain Financing</w:t>
            </w:r>
          </w:p>
        </w:tc>
        <w:tc>
          <w:tcPr>
            <w:tcW w:w="1350" w:type="dxa"/>
            <w:tcBorders>
              <w:top w:val="single" w:sz="4" w:space="0" w:color="CCCCCC"/>
              <w:left w:val="single" w:sz="4" w:space="0" w:color="CCCCCC"/>
              <w:bottom w:val="single" w:sz="4" w:space="0" w:color="CCCCCC"/>
              <w:right w:val="single" w:sz="4" w:space="0" w:color="CCCCCC"/>
            </w:tcBorders>
            <w:shd w:val="clear" w:color="auto" w:fill="F5F5F5"/>
          </w:tcPr>
          <w:p w14:paraId="0FAD71E8" w14:textId="77777777" w:rsidR="006E14F4" w:rsidRDefault="00000000">
            <w:pPr>
              <w:spacing w:before="40" w:after="40"/>
            </w:pPr>
            <w:r>
              <w:rPr>
                <w:rFonts w:ascii="Arial" w:hAnsi="Arial"/>
                <w:color w:val="333333"/>
                <w:sz w:val="18"/>
              </w:rPr>
              <w:t>9.32</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0BF78822" w14:textId="77777777" w:rsidR="006E14F4" w:rsidRDefault="00000000">
            <w:pPr>
              <w:spacing w:before="40" w:after="40"/>
            </w:pPr>
            <w:r>
              <w:rPr>
                <w:rFonts w:ascii="Arial" w:hAnsi="Arial"/>
                <w:color w:val="333333"/>
                <w:sz w:val="18"/>
              </w:rPr>
              <w:t>$144K</w:t>
            </w:r>
          </w:p>
        </w:tc>
        <w:tc>
          <w:tcPr>
            <w:tcW w:w="1170" w:type="dxa"/>
            <w:tcBorders>
              <w:top w:val="single" w:sz="4" w:space="0" w:color="CCCCCC"/>
              <w:left w:val="single" w:sz="4" w:space="0" w:color="CCCCCC"/>
              <w:bottom w:val="single" w:sz="4" w:space="0" w:color="CCCCCC"/>
              <w:right w:val="single" w:sz="4" w:space="0" w:color="CCCCCC"/>
            </w:tcBorders>
            <w:shd w:val="clear" w:color="auto" w:fill="F5F5F5"/>
          </w:tcPr>
          <w:p w14:paraId="322E3254" w14:textId="77777777" w:rsidR="006E14F4" w:rsidRDefault="00000000">
            <w:pPr>
              <w:spacing w:before="40" w:after="40"/>
            </w:pPr>
            <w:r>
              <w:rPr>
                <w:rFonts w:ascii="Arial" w:hAnsi="Arial"/>
                <w:color w:val="333333"/>
                <w:sz w:val="18"/>
              </w:rPr>
              <w:t>$48K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314DA046" w14:textId="77777777" w:rsidR="006E14F4" w:rsidRDefault="00000000">
            <w:pPr>
              <w:spacing w:before="40" w:after="40"/>
            </w:pPr>
            <w:r>
              <w:rPr>
                <w:rFonts w:ascii="Arial" w:hAnsi="Arial"/>
                <w:color w:val="333333"/>
                <w:sz w:val="18"/>
              </w:rPr>
              <w:t>Retainer</w:t>
            </w:r>
          </w:p>
        </w:tc>
        <w:tc>
          <w:tcPr>
            <w:tcW w:w="990" w:type="dxa"/>
            <w:tcBorders>
              <w:top w:val="single" w:sz="4" w:space="0" w:color="CCCCCC"/>
              <w:left w:val="single" w:sz="4" w:space="0" w:color="CCCCCC"/>
              <w:bottom w:val="single" w:sz="4" w:space="0" w:color="CCCCCC"/>
              <w:right w:val="single" w:sz="4" w:space="0" w:color="CCCCCC"/>
            </w:tcBorders>
            <w:shd w:val="clear" w:color="auto" w:fill="F5F5F5"/>
          </w:tcPr>
          <w:p w14:paraId="0A0A7C84" w14:textId="77777777" w:rsidR="006E14F4" w:rsidRDefault="00000000">
            <w:pPr>
              <w:spacing w:before="40" w:after="40"/>
            </w:pPr>
            <w:r>
              <w:rPr>
                <w:rFonts w:ascii="Arial" w:hAnsi="Arial"/>
                <w:color w:val="333333"/>
                <w:sz w:val="18"/>
              </w:rPr>
              <w:t>2/5</w:t>
            </w:r>
          </w:p>
        </w:tc>
      </w:tr>
    </w:tbl>
    <w:p w14:paraId="6ED61765" w14:textId="77777777" w:rsidR="006E14F4" w:rsidRDefault="006E14F4"/>
    <w:p w14:paraId="264C6625" w14:textId="77777777" w:rsidR="006E14F4" w:rsidRDefault="00000000">
      <w:pPr>
        <w:spacing w:before="240" w:after="80"/>
      </w:pPr>
      <w:r>
        <w:rPr>
          <w:rFonts w:ascii="Arial" w:hAnsi="Arial"/>
          <w:b/>
          <w:color w:val="25AAE1"/>
          <w:sz w:val="26"/>
        </w:rPr>
        <w:t>Strategic Rationale</w:t>
      </w:r>
    </w:p>
    <w:p w14:paraId="5BF75502" w14:textId="77777777" w:rsidR="006E14F4" w:rsidRDefault="00000000">
      <w:pPr>
        <w:spacing w:after="120"/>
      </w:pPr>
      <w:r>
        <w:rPr>
          <w:rFonts w:ascii="Arial" w:hAnsi="Arial"/>
          <w:color w:val="333333"/>
        </w:rPr>
        <w:t>These are hyper-specialized fields where buyers have almost no framework for evaluating providers. The hotel GM evaluating a revenue management consultant doesn't know what great looks like. The municipal director considering emergency management consulting is equally unsure. They default to whoever appears most authoritative, most credible, most certain. Almost none of these consultants have a functioning content or authority system. First-mover advantage in these niches is significant — the practitioner who builds the content presence first owns the category perception for years.</w:t>
      </w:r>
    </w:p>
    <w:p w14:paraId="3A851714" w14:textId="77777777" w:rsidR="006E14F4" w:rsidRDefault="006E14F4">
      <w:pPr>
        <w:pBdr>
          <w:bottom w:val="single" w:sz="4" w:space="1" w:color="25AAE1"/>
        </w:pBdr>
        <w:spacing w:before="240" w:after="240"/>
      </w:pPr>
    </w:p>
    <w:p w14:paraId="1ED31C94" w14:textId="77777777" w:rsidR="006E14F4" w:rsidRDefault="00000000">
      <w:r>
        <w:br w:type="page"/>
      </w:r>
    </w:p>
    <w:p w14:paraId="23FC2A17" w14:textId="77777777" w:rsidR="006E14F4" w:rsidRDefault="00000000">
      <w:pPr>
        <w:pBdr>
          <w:bottom w:val="single" w:sz="6" w:space="1" w:color="25AAE1"/>
        </w:pBdr>
        <w:spacing w:before="480" w:after="240"/>
      </w:pPr>
      <w:r>
        <w:rPr>
          <w:rFonts w:ascii="Arial" w:hAnsi="Arial"/>
          <w:b/>
          <w:color w:val="25AAE1"/>
          <w:sz w:val="48"/>
        </w:rPr>
        <w:lastRenderedPageBreak/>
        <w:t>Cluster 5 — High-Trust Vertical Marketing</w:t>
      </w:r>
    </w:p>
    <w:p w14:paraId="1BE78368" w14:textId="77777777" w:rsidR="006E14F4" w:rsidRDefault="00000000">
      <w:pPr>
        <w:spacing w:after="120"/>
      </w:pPr>
      <w:r>
        <w:rPr>
          <w:rFonts w:ascii="Arial" w:hAnsi="Arial"/>
          <w:color w:val="333333"/>
        </w:rPr>
        <w:t>These businesses hire external marketing firms. ASG IS the firm they need.</w:t>
      </w:r>
    </w:p>
    <w:p w14:paraId="1BA8F876" w14:textId="77777777" w:rsidR="006E14F4" w:rsidRDefault="00000000">
      <w:pPr>
        <w:pBdr>
          <w:left w:val="single" w:sz="12" w:space="6" w:color="25AAE1"/>
        </w:pBdr>
        <w:shd w:val="clear" w:color="auto" w:fill="EAF6FC"/>
        <w:spacing w:before="200"/>
        <w:ind w:left="360"/>
      </w:pPr>
      <w:r>
        <w:rPr>
          <w:rFonts w:ascii="Arial" w:hAnsi="Arial"/>
          <w:b/>
          <w:color w:val="25AAE1"/>
        </w:rPr>
        <w:t>These verticals spend heavily on marketing but are flooded with generalist agencies. Niche specificity IS credibility — and the highest deal sizes on this list reflect that.</w:t>
      </w:r>
    </w:p>
    <w:tbl>
      <w:tblPr>
        <w:tblW w:w="0" w:type="auto"/>
        <w:tblLook w:val="04A0" w:firstRow="1" w:lastRow="0" w:firstColumn="1" w:lastColumn="0" w:noHBand="0" w:noVBand="1"/>
      </w:tblPr>
      <w:tblGrid>
        <w:gridCol w:w="3708"/>
        <w:gridCol w:w="1350"/>
        <w:gridCol w:w="1080"/>
        <w:gridCol w:w="1260"/>
        <w:gridCol w:w="1260"/>
        <w:gridCol w:w="900"/>
      </w:tblGrid>
      <w:tr w:rsidR="006E14F4" w14:paraId="27126F30" w14:textId="77777777" w:rsidTr="00125662">
        <w:tc>
          <w:tcPr>
            <w:tcW w:w="3708" w:type="dxa"/>
            <w:tcBorders>
              <w:top w:val="single" w:sz="4" w:space="0" w:color="CCCCCC"/>
              <w:left w:val="single" w:sz="4" w:space="0" w:color="CCCCCC"/>
              <w:bottom w:val="single" w:sz="4" w:space="0" w:color="CCCCCC"/>
              <w:right w:val="single" w:sz="4" w:space="0" w:color="CCCCCC"/>
            </w:tcBorders>
            <w:shd w:val="clear" w:color="auto" w:fill="25AAE1"/>
          </w:tcPr>
          <w:p w14:paraId="3C508BE0" w14:textId="77777777" w:rsidR="006E14F4" w:rsidRDefault="00000000">
            <w:pPr>
              <w:spacing w:before="60" w:after="60"/>
              <w:jc w:val="center"/>
            </w:pPr>
            <w:r>
              <w:rPr>
                <w:rFonts w:ascii="Arial" w:hAnsi="Arial"/>
                <w:b/>
                <w:color w:val="FFFFFF"/>
                <w:sz w:val="18"/>
              </w:rPr>
              <w:t>Niche</w:t>
            </w:r>
          </w:p>
        </w:tc>
        <w:tc>
          <w:tcPr>
            <w:tcW w:w="1350" w:type="dxa"/>
            <w:tcBorders>
              <w:top w:val="single" w:sz="4" w:space="0" w:color="CCCCCC"/>
              <w:left w:val="single" w:sz="4" w:space="0" w:color="CCCCCC"/>
              <w:bottom w:val="single" w:sz="4" w:space="0" w:color="CCCCCC"/>
              <w:right w:val="single" w:sz="4" w:space="0" w:color="CCCCCC"/>
            </w:tcBorders>
            <w:shd w:val="clear" w:color="auto" w:fill="25AAE1"/>
          </w:tcPr>
          <w:p w14:paraId="7912F560" w14:textId="77777777" w:rsidR="006E14F4" w:rsidRDefault="00000000">
            <w:pPr>
              <w:spacing w:before="60" w:after="60"/>
              <w:jc w:val="center"/>
            </w:pPr>
            <w:r>
              <w:rPr>
                <w:rFonts w:ascii="Arial" w:hAnsi="Arial"/>
                <w:b/>
                <w:color w:val="FFFFFF"/>
                <w:sz w:val="18"/>
              </w:rPr>
              <w:t>Composite</w:t>
            </w:r>
          </w:p>
        </w:tc>
        <w:tc>
          <w:tcPr>
            <w:tcW w:w="1080" w:type="dxa"/>
            <w:tcBorders>
              <w:top w:val="single" w:sz="4" w:space="0" w:color="CCCCCC"/>
              <w:left w:val="single" w:sz="4" w:space="0" w:color="CCCCCC"/>
              <w:bottom w:val="single" w:sz="4" w:space="0" w:color="CCCCCC"/>
              <w:right w:val="single" w:sz="4" w:space="0" w:color="CCCCCC"/>
            </w:tcBorders>
            <w:shd w:val="clear" w:color="auto" w:fill="25AAE1"/>
          </w:tcPr>
          <w:p w14:paraId="675C5E61" w14:textId="77777777" w:rsidR="006E14F4" w:rsidRDefault="00000000">
            <w:pPr>
              <w:spacing w:before="60" w:after="60"/>
              <w:jc w:val="center"/>
            </w:pPr>
            <w:r>
              <w:rPr>
                <w:rFonts w:ascii="Arial" w:hAnsi="Arial"/>
                <w:b/>
                <w:color w:val="FFFFFF"/>
                <w:sz w:val="18"/>
              </w:rPr>
              <w:t>LTV</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5D9DAED7" w14:textId="77777777" w:rsidR="006E14F4" w:rsidRDefault="00000000">
            <w:pPr>
              <w:spacing w:before="60" w:after="60"/>
              <w:jc w:val="center"/>
            </w:pPr>
            <w:r>
              <w:rPr>
                <w:rFonts w:ascii="Arial" w:hAnsi="Arial"/>
                <w:b/>
                <w:color w:val="FFFFFF"/>
                <w:sz w:val="18"/>
              </w:rPr>
              <w:t>Deal Size</w:t>
            </w:r>
          </w:p>
        </w:tc>
        <w:tc>
          <w:tcPr>
            <w:tcW w:w="1260" w:type="dxa"/>
            <w:tcBorders>
              <w:top w:val="single" w:sz="4" w:space="0" w:color="CCCCCC"/>
              <w:left w:val="single" w:sz="4" w:space="0" w:color="CCCCCC"/>
              <w:bottom w:val="single" w:sz="4" w:space="0" w:color="CCCCCC"/>
              <w:right w:val="single" w:sz="4" w:space="0" w:color="CCCCCC"/>
            </w:tcBorders>
            <w:shd w:val="clear" w:color="auto" w:fill="25AAE1"/>
          </w:tcPr>
          <w:p w14:paraId="054954C3" w14:textId="77777777" w:rsidR="006E14F4" w:rsidRDefault="00000000">
            <w:pPr>
              <w:spacing w:before="60" w:after="60"/>
              <w:jc w:val="center"/>
            </w:pPr>
            <w:r>
              <w:rPr>
                <w:rFonts w:ascii="Arial" w:hAnsi="Arial"/>
                <w:b/>
                <w:color w:val="FFFFFF"/>
                <w:sz w:val="18"/>
              </w:rPr>
              <w:t>Payment</w:t>
            </w:r>
          </w:p>
        </w:tc>
        <w:tc>
          <w:tcPr>
            <w:tcW w:w="900" w:type="dxa"/>
            <w:tcBorders>
              <w:top w:val="single" w:sz="4" w:space="0" w:color="CCCCCC"/>
              <w:left w:val="single" w:sz="4" w:space="0" w:color="CCCCCC"/>
              <w:bottom w:val="single" w:sz="4" w:space="0" w:color="CCCCCC"/>
              <w:right w:val="single" w:sz="4" w:space="0" w:color="CCCCCC"/>
            </w:tcBorders>
            <w:shd w:val="clear" w:color="auto" w:fill="25AAE1"/>
          </w:tcPr>
          <w:p w14:paraId="69456A78" w14:textId="77777777" w:rsidR="006E14F4" w:rsidRDefault="00000000">
            <w:pPr>
              <w:spacing w:before="60" w:after="60"/>
              <w:jc w:val="center"/>
            </w:pPr>
            <w:r>
              <w:rPr>
                <w:rFonts w:ascii="Arial" w:hAnsi="Arial"/>
                <w:b/>
                <w:color w:val="FFFFFF"/>
                <w:sz w:val="18"/>
              </w:rPr>
              <w:t>Srvc</w:t>
            </w:r>
          </w:p>
        </w:tc>
      </w:tr>
      <w:tr w:rsidR="006E14F4" w14:paraId="66C6B791" w14:textId="77777777" w:rsidTr="00125662">
        <w:tc>
          <w:tcPr>
            <w:tcW w:w="3708" w:type="dxa"/>
            <w:tcBorders>
              <w:top w:val="single" w:sz="4" w:space="0" w:color="CCCCCC"/>
              <w:left w:val="single" w:sz="4" w:space="0" w:color="CCCCCC"/>
              <w:bottom w:val="single" w:sz="4" w:space="0" w:color="CCCCCC"/>
              <w:right w:val="single" w:sz="4" w:space="0" w:color="CCCCCC"/>
            </w:tcBorders>
            <w:shd w:val="clear" w:color="auto" w:fill="FFFFFF"/>
          </w:tcPr>
          <w:p w14:paraId="09404601" w14:textId="77777777" w:rsidR="006E14F4" w:rsidRDefault="00000000">
            <w:pPr>
              <w:spacing w:before="40" w:after="40"/>
            </w:pPr>
            <w:r>
              <w:rPr>
                <w:rFonts w:ascii="Arial" w:hAnsi="Arial"/>
                <w:color w:val="333333"/>
                <w:sz w:val="18"/>
              </w:rPr>
              <w:t>Fertility Clinic Marketing</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Pr>
          <w:p w14:paraId="01CA455F"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47D3F90B" w14:textId="77777777" w:rsidR="006E14F4" w:rsidRDefault="00000000">
            <w:pPr>
              <w:spacing w:before="40" w:after="40"/>
            </w:pPr>
            <w:r>
              <w:rPr>
                <w:rFonts w:ascii="Arial" w:hAnsi="Arial"/>
                <w:color w:val="333333"/>
                <w:sz w:val="18"/>
              </w:rPr>
              <w:t>$135K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2A06094B" w14:textId="77777777" w:rsidR="006E14F4" w:rsidRDefault="00000000">
            <w:pPr>
              <w:spacing w:before="40" w:after="40"/>
            </w:pPr>
            <w:r>
              <w:rPr>
                <w:rFonts w:ascii="Arial" w:hAnsi="Arial"/>
                <w:color w:val="333333"/>
                <w:sz w:val="18"/>
              </w:rPr>
              <w:t>$45K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449F5B1C"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30772B59" w14:textId="77777777" w:rsidR="006E14F4" w:rsidRDefault="00000000">
            <w:pPr>
              <w:spacing w:before="40" w:after="40"/>
            </w:pPr>
            <w:r>
              <w:rPr>
                <w:rFonts w:ascii="Arial" w:hAnsi="Arial"/>
                <w:color w:val="333333"/>
                <w:sz w:val="18"/>
              </w:rPr>
              <w:t>2/5</w:t>
            </w:r>
          </w:p>
        </w:tc>
      </w:tr>
      <w:tr w:rsidR="006E14F4" w14:paraId="51B55BA0" w14:textId="77777777" w:rsidTr="00125662">
        <w:tc>
          <w:tcPr>
            <w:tcW w:w="3708" w:type="dxa"/>
            <w:tcBorders>
              <w:top w:val="single" w:sz="4" w:space="0" w:color="CCCCCC"/>
              <w:left w:val="single" w:sz="4" w:space="0" w:color="CCCCCC"/>
              <w:bottom w:val="single" w:sz="4" w:space="0" w:color="CCCCCC"/>
              <w:right w:val="single" w:sz="4" w:space="0" w:color="CCCCCC"/>
            </w:tcBorders>
            <w:shd w:val="clear" w:color="auto" w:fill="F5F5F5"/>
          </w:tcPr>
          <w:p w14:paraId="707D2564" w14:textId="77777777" w:rsidR="006E14F4" w:rsidRDefault="00000000">
            <w:pPr>
              <w:spacing w:before="40" w:after="40"/>
            </w:pPr>
            <w:r>
              <w:rPr>
                <w:rFonts w:ascii="Arial" w:hAnsi="Arial"/>
                <w:color w:val="333333"/>
                <w:sz w:val="18"/>
              </w:rPr>
              <w:t>Custom Home Builder Marketing</w:t>
            </w:r>
          </w:p>
        </w:tc>
        <w:tc>
          <w:tcPr>
            <w:tcW w:w="1350" w:type="dxa"/>
            <w:tcBorders>
              <w:top w:val="single" w:sz="4" w:space="0" w:color="CCCCCC"/>
              <w:left w:val="single" w:sz="4" w:space="0" w:color="CCCCCC"/>
              <w:bottom w:val="single" w:sz="4" w:space="0" w:color="CCCCCC"/>
              <w:right w:val="single" w:sz="4" w:space="0" w:color="CCCCCC"/>
            </w:tcBorders>
            <w:shd w:val="clear" w:color="auto" w:fill="F5F5F5"/>
          </w:tcPr>
          <w:p w14:paraId="0C1066DE"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5F5F5"/>
          </w:tcPr>
          <w:p w14:paraId="6C46F7BC" w14:textId="77777777" w:rsidR="006E14F4" w:rsidRDefault="00000000">
            <w:pPr>
              <w:spacing w:before="40" w:after="40"/>
            </w:pPr>
            <w:r>
              <w:rPr>
                <w:rFonts w:ascii="Arial" w:hAnsi="Arial"/>
                <w:color w:val="333333"/>
                <w:sz w:val="18"/>
              </w:rPr>
              <w:t>$156K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799AE420" w14:textId="77777777" w:rsidR="006E14F4" w:rsidRDefault="00000000">
            <w:pPr>
              <w:spacing w:before="40" w:after="40"/>
            </w:pPr>
            <w:r>
              <w:rPr>
                <w:rFonts w:ascii="Arial" w:hAnsi="Arial"/>
                <w:color w:val="333333"/>
                <w:sz w:val="18"/>
              </w:rPr>
              <w:t>$52K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Pr>
          <w:p w14:paraId="462E9124"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Pr>
          <w:p w14:paraId="0382F31D" w14:textId="77777777" w:rsidR="006E14F4" w:rsidRDefault="00000000">
            <w:pPr>
              <w:spacing w:before="40" w:after="40"/>
            </w:pPr>
            <w:r>
              <w:rPr>
                <w:rFonts w:ascii="Arial" w:hAnsi="Arial"/>
                <w:color w:val="333333"/>
                <w:sz w:val="18"/>
              </w:rPr>
              <w:t>2/5</w:t>
            </w:r>
          </w:p>
        </w:tc>
      </w:tr>
      <w:tr w:rsidR="006E14F4" w14:paraId="36FB77AE" w14:textId="77777777" w:rsidTr="00125662">
        <w:tc>
          <w:tcPr>
            <w:tcW w:w="3708" w:type="dxa"/>
            <w:tcBorders>
              <w:top w:val="single" w:sz="4" w:space="0" w:color="CCCCCC"/>
              <w:left w:val="single" w:sz="4" w:space="0" w:color="CCCCCC"/>
              <w:bottom w:val="single" w:sz="4" w:space="0" w:color="CCCCCC"/>
              <w:right w:val="single" w:sz="4" w:space="0" w:color="CCCCCC"/>
            </w:tcBorders>
            <w:shd w:val="clear" w:color="auto" w:fill="FFFFFF"/>
          </w:tcPr>
          <w:p w14:paraId="3588FCE4" w14:textId="77777777" w:rsidR="006E14F4" w:rsidRDefault="00000000">
            <w:pPr>
              <w:spacing w:before="40" w:after="40"/>
            </w:pPr>
            <w:r>
              <w:rPr>
                <w:rFonts w:ascii="Arial" w:hAnsi="Arial"/>
                <w:color w:val="333333"/>
                <w:sz w:val="18"/>
              </w:rPr>
              <w:t>Luxury Auto Dealership Marketing</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Pr>
          <w:p w14:paraId="635A82A7" w14:textId="77777777" w:rsidR="006E14F4" w:rsidRDefault="00000000">
            <w:pPr>
              <w:spacing w:before="40" w:after="40"/>
            </w:pPr>
            <w:r>
              <w:rPr>
                <w:rFonts w:ascii="Arial" w:hAnsi="Arial"/>
                <w:color w:val="333333"/>
                <w:sz w:val="18"/>
              </w:rPr>
              <w:t>9.60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14:paraId="225339FB" w14:textId="77777777" w:rsidR="006E14F4" w:rsidRDefault="00000000">
            <w:pPr>
              <w:spacing w:before="40" w:after="40"/>
            </w:pPr>
            <w:r>
              <w:rPr>
                <w:rFonts w:ascii="Arial" w:hAnsi="Arial"/>
                <w:color w:val="333333"/>
                <w:sz w:val="18"/>
              </w:rPr>
              <w:t>$156K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6DE40894" w14:textId="77777777" w:rsidR="006E14F4" w:rsidRDefault="00000000">
            <w:pPr>
              <w:spacing w:before="40" w:after="40"/>
            </w:pPr>
            <w:r>
              <w:rPr>
                <w:rFonts w:ascii="Arial" w:hAnsi="Arial"/>
                <w:color w:val="333333"/>
                <w:sz w:val="18"/>
              </w:rPr>
              <w:t>$52K</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Pr>
          <w:p w14:paraId="602A1105" w14:textId="77777777" w:rsidR="006E14F4" w:rsidRDefault="00000000">
            <w:pPr>
              <w:spacing w:before="40" w:after="40"/>
            </w:pPr>
            <w:r>
              <w:rPr>
                <w:rFonts w:ascii="Arial" w:hAnsi="Arial"/>
                <w:color w:val="333333"/>
                <w:sz w:val="18"/>
              </w:rPr>
              <w:t>Retainer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Pr>
          <w:p w14:paraId="48DBE560" w14:textId="77777777" w:rsidR="006E14F4" w:rsidRDefault="00000000">
            <w:pPr>
              <w:spacing w:before="40" w:after="40"/>
            </w:pPr>
            <w:r>
              <w:rPr>
                <w:rFonts w:ascii="Arial" w:hAnsi="Arial"/>
                <w:color w:val="333333"/>
                <w:sz w:val="18"/>
              </w:rPr>
              <w:t>2/5</w:t>
            </w:r>
          </w:p>
        </w:tc>
      </w:tr>
    </w:tbl>
    <w:p w14:paraId="682B25F3" w14:textId="77777777" w:rsidR="006E14F4" w:rsidRDefault="006E14F4"/>
    <w:p w14:paraId="5A5BD004" w14:textId="77777777" w:rsidR="006E14F4" w:rsidRDefault="00000000">
      <w:pPr>
        <w:spacing w:before="240" w:after="80"/>
      </w:pPr>
      <w:r>
        <w:rPr>
          <w:rFonts w:ascii="Arial" w:hAnsi="Arial"/>
          <w:b/>
          <w:color w:val="25AAE1"/>
          <w:sz w:val="26"/>
        </w:rPr>
        <w:t>Strategic Rationale</w:t>
      </w:r>
    </w:p>
    <w:p w14:paraId="0F480325" w14:textId="77777777" w:rsidR="006E14F4" w:rsidRDefault="00000000">
      <w:pPr>
        <w:spacing w:after="120"/>
      </w:pPr>
      <w:r>
        <w:rPr>
          <w:rFonts w:ascii="Arial" w:hAnsi="Arial"/>
          <w:color w:val="333333"/>
        </w:rPr>
        <w:t>Fertility clinics, custom home builders, and luxury auto dealerships all share a common challenge: they spend heavily on marketing but rarely find an agency that speaks their specific language. A generalist digital agency pitching a fertility clinic sounds exactly like every other agency. An ASG engagement that leads with deep niche knowledge, patient acquisition expertise, and authority positioning wins the room immediately. These also carry the highest deal sizes and LTVs in this entire analysis. Cluster 5 should be treated as a dedicated prospecting lane with tailored positioning for each vertical.</w:t>
      </w:r>
    </w:p>
    <w:p w14:paraId="58AD662D" w14:textId="77777777" w:rsidR="006E14F4" w:rsidRDefault="006E14F4">
      <w:pPr>
        <w:pBdr>
          <w:bottom w:val="single" w:sz="4" w:space="1" w:color="25AAE1"/>
        </w:pBdr>
        <w:spacing w:before="240" w:after="240"/>
      </w:pPr>
    </w:p>
    <w:p w14:paraId="0F35ADFC" w14:textId="77777777" w:rsidR="006E14F4" w:rsidRDefault="00000000">
      <w:r>
        <w:br w:type="page"/>
      </w:r>
    </w:p>
    <w:p w14:paraId="196043AA" w14:textId="77777777" w:rsidR="006E14F4" w:rsidRDefault="00000000">
      <w:pPr>
        <w:pBdr>
          <w:bottom w:val="single" w:sz="6" w:space="1" w:color="25AAE1"/>
        </w:pBdr>
        <w:spacing w:before="480" w:after="240"/>
      </w:pPr>
      <w:r>
        <w:rPr>
          <w:rFonts w:ascii="Arial" w:hAnsi="Arial"/>
          <w:b/>
          <w:color w:val="25AAE1"/>
          <w:sz w:val="48"/>
        </w:rPr>
        <w:lastRenderedPageBreak/>
        <w:t>Roger's Read — Priority &amp; Next Steps</w:t>
      </w:r>
    </w:p>
    <w:p w14:paraId="1D107D31" w14:textId="77777777" w:rsidR="006E14F4" w:rsidRDefault="00000000">
      <w:pPr>
        <w:spacing w:after="120"/>
      </w:pPr>
      <w:r>
        <w:rPr>
          <w:rFonts w:ascii="Arial" w:hAnsi="Arial"/>
          <w:color w:val="333333"/>
        </w:rPr>
        <w:t>The highest-confidence immediate targets are Clusters 1 and 2 — Financial &amp; Accounting Advisory and HR &amp; People Strategy Consulting. Both are LinkedIn-native, authority-starved, and the full ASG deliverable stack maps directly to how they acquire clients. Prospecting campaigns can launch with existing infrastructure.</w:t>
      </w:r>
    </w:p>
    <w:p w14:paraId="1C9F8FA1" w14:textId="77777777" w:rsidR="006E14F4" w:rsidRDefault="00000000">
      <w:pPr>
        <w:spacing w:after="120"/>
      </w:pPr>
      <w:r>
        <w:rPr>
          <w:rFonts w:ascii="Arial" w:hAnsi="Arial"/>
          <w:color w:val="333333"/>
        </w:rPr>
        <w:t>The compliance cluster (Cluster 3) is slightly longer cycle but commands premium retainers and near-zero churn once embedded. Healthcare Compliance and Energy Procurement are the two strongest entries in this group — both have clear enemy beliefs and regulatory urgency that accelerates the emotional track.</w:t>
      </w:r>
    </w:p>
    <w:p w14:paraId="3055CA43" w14:textId="77777777" w:rsidR="006E14F4" w:rsidRDefault="00000000">
      <w:pPr>
        <w:spacing w:after="120"/>
      </w:pPr>
      <w:r>
        <w:rPr>
          <w:rFonts w:ascii="Arial" w:hAnsi="Arial"/>
          <w:color w:val="333333"/>
        </w:rPr>
        <w:t>Cluster 5 (Vertical Marketing) deserves a dedicated prospecting lane. Deal sizes are the highest across all 20 niches, buyers are active marketing spenders, and the niche-specialization story writes itself. Custom Home Builder Marketing and Luxury Auto Dealership Marketing both carry $156K LTV with 9.60 composite scores.</w:t>
      </w:r>
    </w:p>
    <w:p w14:paraId="663D3DB6" w14:textId="77777777" w:rsidR="006E14F4" w:rsidRDefault="00000000">
      <w:pPr>
        <w:pBdr>
          <w:left w:val="single" w:sz="12" w:space="6" w:color="25AAE1"/>
        </w:pBdr>
        <w:shd w:val="clear" w:color="auto" w:fill="EAF6FC"/>
        <w:spacing w:before="200"/>
        <w:ind w:left="360"/>
      </w:pPr>
      <w:r>
        <w:rPr>
          <w:rFonts w:ascii="Arial" w:hAnsi="Arial"/>
          <w:b/>
          <w:color w:val="25AAE1"/>
        </w:rPr>
        <w:t>Recommended first move: Activate a Cold Email + LinkedIn outreach sequence targeting Fractional Controller and Performance Management Consulting prospects. Both have 60-day sales cycles, $135K–$144K LTV, and retainer structures that feed ASG's recurring revenue base immediately.</w:t>
      </w:r>
    </w:p>
    <w:p w14:paraId="567552FF" w14:textId="77777777" w:rsidR="006E14F4" w:rsidRDefault="006E14F4"/>
    <w:p w14:paraId="6DFDDF58" w14:textId="77777777" w:rsidR="006E14F4" w:rsidRDefault="00000000">
      <w:pPr>
        <w:spacing w:after="120"/>
      </w:pPr>
      <w:r>
        <w:rPr>
          <w:rFonts w:ascii="Arial" w:hAnsi="Arial"/>
          <w:color w:val="333333"/>
        </w:rPr>
        <w:t>This document should be consulted whenever:</w:t>
      </w:r>
    </w:p>
    <w:p w14:paraId="3F6E2396" w14:textId="77777777" w:rsidR="006E14F4" w:rsidRDefault="00000000">
      <w:pPr>
        <w:pStyle w:val="ListBullet"/>
      </w:pPr>
      <w:r>
        <w:rPr>
          <w:rFonts w:ascii="Arial" w:hAnsi="Arial"/>
          <w:color w:val="333333"/>
        </w:rPr>
        <w:t>Evaluating a new prospecting campaign target</w:t>
      </w:r>
    </w:p>
    <w:p w14:paraId="7F580BA1" w14:textId="77777777" w:rsidR="006E14F4" w:rsidRDefault="00000000">
      <w:pPr>
        <w:pStyle w:val="ListBullet"/>
      </w:pPr>
      <w:r>
        <w:rPr>
          <w:rFonts w:ascii="Arial" w:hAnsi="Arial"/>
          <w:color w:val="333333"/>
        </w:rPr>
        <w:t>Assessing whether an inbound inquiry fits the ASG expansion model</w:t>
      </w:r>
    </w:p>
    <w:p w14:paraId="6FC30D08" w14:textId="77777777" w:rsidR="006E14F4" w:rsidRDefault="00000000">
      <w:pPr>
        <w:pStyle w:val="ListBullet"/>
      </w:pPr>
      <w:r>
        <w:rPr>
          <w:rFonts w:ascii="Arial" w:hAnsi="Arial"/>
          <w:color w:val="333333"/>
        </w:rPr>
        <w:t>Selecting the next vertical for a Dopamine Ladder or Dream 100 build-out</w:t>
      </w:r>
    </w:p>
    <w:p w14:paraId="28D7DB54" w14:textId="77777777" w:rsidR="006E14F4" w:rsidRDefault="00000000">
      <w:pPr>
        <w:pStyle w:val="ListBullet"/>
      </w:pPr>
      <w:r>
        <w:rPr>
          <w:rFonts w:ascii="Arial" w:hAnsi="Arial"/>
          <w:color w:val="333333"/>
        </w:rPr>
        <w:t>Briefing Daniel Frost or Tanya Blackwood on new market opportunities</w:t>
      </w:r>
    </w:p>
    <w:p w14:paraId="7C05DCE2" w14:textId="77777777" w:rsidR="006E14F4" w:rsidRDefault="00000000">
      <w:pPr>
        <w:pStyle w:val="ListBullet"/>
      </w:pPr>
      <w:r>
        <w:rPr>
          <w:rFonts w:ascii="Arial" w:hAnsi="Arial"/>
          <w:color w:val="333333"/>
        </w:rPr>
        <w:t>Comparing ROI potential across expansion options</w:t>
      </w:r>
    </w:p>
    <w:p w14:paraId="07F7D339" w14:textId="77777777" w:rsidR="006E14F4" w:rsidRDefault="006E14F4"/>
    <w:p w14:paraId="496EF4C5" w14:textId="77777777" w:rsidR="006E14F4" w:rsidRDefault="00000000">
      <w:pPr>
        <w:spacing w:before="480"/>
        <w:ind w:left="720"/>
      </w:pPr>
      <w:r>
        <w:rPr>
          <w:rFonts w:ascii="Arial" w:hAnsi="Arial"/>
          <w:i/>
          <w:color w:val="58585A"/>
        </w:rPr>
        <w:t>Reviewed and approved for use as an ongoing reference document.</w:t>
      </w:r>
      <w:r>
        <w:rPr>
          <w:rFonts w:ascii="Arial" w:hAnsi="Arial"/>
          <w:i/>
          <w:color w:val="58585A"/>
        </w:rPr>
        <w:br/>
        <w:t>Roger Bauer, Director — Authority Systems Group™</w:t>
      </w:r>
    </w:p>
    <w:sectPr w:rsidR="006E14F4"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466A09" w14:textId="77777777" w:rsidR="00EE416C" w:rsidRDefault="00EE416C">
      <w:pPr>
        <w:spacing w:after="0" w:line="240" w:lineRule="auto"/>
      </w:pPr>
      <w:r>
        <w:separator/>
      </w:r>
    </w:p>
  </w:endnote>
  <w:endnote w:type="continuationSeparator" w:id="0">
    <w:p w14:paraId="3D4B9C62" w14:textId="77777777" w:rsidR="00EE416C" w:rsidRDefault="00EE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8F8E2B" w14:textId="77777777" w:rsidR="006E14F4" w:rsidRDefault="00000000">
    <w:pPr>
      <w:pStyle w:val="Footer"/>
      <w:pBdr>
        <w:top w:val="single" w:sz="4" w:space="1" w:color="25AAE1"/>
      </w:pBdr>
      <w:jc w:val="center"/>
    </w:pPr>
    <w:r>
      <w:rPr>
        <w:rFonts w:ascii="Arial" w:hAnsi="Arial"/>
        <w:color w:val="58585A"/>
        <w:sz w:val="18"/>
      </w:rPr>
      <w:t>Authority Systems Group™  |  AuthoritySystemsGroup.com  |  Internal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0F671" w14:textId="77777777" w:rsidR="00EE416C" w:rsidRDefault="00EE416C">
      <w:pPr>
        <w:spacing w:after="0" w:line="240" w:lineRule="auto"/>
      </w:pPr>
      <w:r>
        <w:separator/>
      </w:r>
    </w:p>
  </w:footnote>
  <w:footnote w:type="continuationSeparator" w:id="0">
    <w:p w14:paraId="455D68E8" w14:textId="77777777" w:rsidR="00EE416C" w:rsidRDefault="00EE4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41645" w14:textId="77777777" w:rsidR="006E14F4" w:rsidRDefault="00000000">
    <w:pPr>
      <w:pStyle w:val="Header"/>
      <w:pBdr>
        <w:bottom w:val="single" w:sz="6" w:space="1" w:color="25AAE1"/>
      </w:pBdr>
    </w:pPr>
    <w:r>
      <w:rPr>
        <w:noProof/>
      </w:rPr>
      <w:drawing>
        <wp:inline distT="0" distB="0" distL="0" distR="0" wp14:anchorId="775F08F5" wp14:editId="13E79219">
          <wp:extent cx="1371600" cy="659533"/>
          <wp:effectExtent l="0" t="0" r="0" b="0"/>
          <wp:docPr id="1378235205" name="Picture 137823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371600" cy="659533"/>
                  </a:xfrm>
                  <a:prstGeom prst="rect">
                    <a:avLst/>
                  </a:prstGeom>
                </pic:spPr>
              </pic:pic>
            </a:graphicData>
          </a:graphic>
        </wp:inline>
      </w:drawing>
    </w:r>
    <w:r>
      <w:rPr>
        <w:rFonts w:ascii="Arial" w:hAnsi="Arial"/>
        <w:color w:val="58585A"/>
        <w:sz w:val="18"/>
      </w:rPr>
      <w:tab/>
      <w:t>Target Niche Analysis — Internal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204248">
    <w:abstractNumId w:val="8"/>
  </w:num>
  <w:num w:numId="2" w16cid:durableId="1931155276">
    <w:abstractNumId w:val="6"/>
  </w:num>
  <w:num w:numId="3" w16cid:durableId="999311986">
    <w:abstractNumId w:val="5"/>
  </w:num>
  <w:num w:numId="4" w16cid:durableId="61879651">
    <w:abstractNumId w:val="4"/>
  </w:num>
  <w:num w:numId="5" w16cid:durableId="955914431">
    <w:abstractNumId w:val="7"/>
  </w:num>
  <w:num w:numId="6" w16cid:durableId="565334177">
    <w:abstractNumId w:val="3"/>
  </w:num>
  <w:num w:numId="7" w16cid:durableId="1743604921">
    <w:abstractNumId w:val="2"/>
  </w:num>
  <w:num w:numId="8" w16cid:durableId="1192064029">
    <w:abstractNumId w:val="1"/>
  </w:num>
  <w:num w:numId="9" w16cid:durableId="198438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662"/>
    <w:rsid w:val="0015074B"/>
    <w:rsid w:val="001C1BC0"/>
    <w:rsid w:val="0029639D"/>
    <w:rsid w:val="002D4D46"/>
    <w:rsid w:val="00326F90"/>
    <w:rsid w:val="00426598"/>
    <w:rsid w:val="006430C2"/>
    <w:rsid w:val="006E14F4"/>
    <w:rsid w:val="00AA1D8D"/>
    <w:rsid w:val="00AD3582"/>
    <w:rsid w:val="00AF72B6"/>
    <w:rsid w:val="00B47730"/>
    <w:rsid w:val="00CB0664"/>
    <w:rsid w:val="00EE4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34B9E"/>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7</cp:revision>
  <dcterms:created xsi:type="dcterms:W3CDTF">2013-12-23T23:15:00Z</dcterms:created>
  <dcterms:modified xsi:type="dcterms:W3CDTF">2026-03-09T04:13:00Z</dcterms:modified>
  <cp:category/>
</cp:coreProperties>
</file>