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0"/>
        <w:jc w:val="center"/>
        <w:shd w:val="clear" w:color="auto" w:fill="1a1a1a"/>
      </w:pPr>
      <w:r>
        <w:drawing>
          <wp:inline xmlns:a="http://schemas.openxmlformats.org/drawingml/2006/main" xmlns:pic="http://schemas.openxmlformats.org/drawingml/2006/picture">
            <wp:extent cx="2011680" cy="9673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g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967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0"/>
        <w:jc w:val="center"/>
        <w:shd w:val="clear" w:color="auto" w:fill="1a1a1a"/>
      </w:pPr>
      <w:r>
        <w:rPr>
          <w:rFonts w:ascii="Calibri" w:hAnsi="Calibri"/>
          <w:i/>
          <w:color w:val="25AAE1"/>
          <w:sz w:val="22"/>
        </w:rPr>
        <w:t>Positioning You As The Authority</w:t>
      </w:r>
    </w:p>
    <w:p>
      <w:pPr>
        <w:spacing w:before="60" w:after="60"/>
        <w:shd w:val="clear" w:color="auto" w:fill="25aae1"/>
      </w:pPr>
    </w:p>
    <w:p>
      <w:pPr>
        <w:spacing w:before="0" w:after="0"/>
      </w:pPr>
      <w:r>
        <w:rPr>
          <w:sz w:val="48"/>
        </w:rPr>
      </w:r>
    </w:p>
    <w:p>
      <w:pPr>
        <w:spacing w:before="480"/>
        <w:jc w:val="center"/>
      </w:pPr>
      <w:r>
        <w:rPr>
          <w:rFonts w:ascii="Calibri" w:hAnsi="Calibri"/>
          <w:b/>
          <w:color w:val="25AAE1"/>
          <w:sz w:val="56"/>
        </w:rPr>
        <w:t>ColdOutreachEngine.com</w:t>
      </w:r>
    </w:p>
    <w:p>
      <w:pPr>
        <w:jc w:val="center"/>
      </w:pPr>
      <w:r>
        <w:rPr>
          <w:rFonts w:ascii="Calibri" w:hAnsi="Calibri"/>
          <w:color w:val="58585A"/>
          <w:sz w:val="32"/>
        </w:rPr>
        <w:t>Internal Strategic Assessment</w:t>
      </w:r>
    </w:p>
    <w:p>
      <w:pPr>
        <w:spacing w:before="0" w:after="0"/>
      </w:pPr>
      <w:r>
        <w:rPr>
          <w:sz w:val="24"/>
        </w:rPr>
      </w:r>
    </w:p>
    <w:p>
      <w:pPr>
        <w:spacing w:before="320" w:after="320"/>
        <w:pBdr>
          <w:bottom w:val="single" w:sz="8" w:space="1" w:color="58585a"/>
        </w:pBdr>
      </w:pPr>
    </w:p>
    <w:p>
      <w:pPr>
        <w:jc w:val="center"/>
      </w:pPr>
      <w:r>
        <w:rPr>
          <w:rFonts w:ascii="Calibri" w:hAnsi="Calibri"/>
          <w:i/>
          <w:color w:val="58585A"/>
          <w:sz w:val="22"/>
        </w:rPr>
        <w:t>Directed by Roger Bauer  |  Authority Systems Group™</w:t>
      </w:r>
    </w:p>
    <w:p>
      <w:pPr>
        <w:jc w:val="center"/>
      </w:pPr>
      <w:r>
        <w:rPr>
          <w:rFonts w:ascii="Calibri" w:hAnsi="Calibri"/>
          <w:color w:val="58585A"/>
          <w:sz w:val="20"/>
        </w:rPr>
        <w:t>March 8, 2026</w:t>
      </w:r>
    </w:p>
    <w:p>
      <w:pPr>
        <w:spacing w:before="0" w:after="0"/>
      </w:pPr>
      <w:r>
        <w:rPr>
          <w:sz w:val="24"/>
        </w:rPr>
      </w:r>
    </w:p>
    <w:p>
      <w:pPr>
        <w:jc w:val="center"/>
      </w:pPr>
      <w:r>
        <w:rPr>
          <w:rFonts w:ascii="Calibri" w:hAnsi="Calibri"/>
          <w:color w:val="888888"/>
          <w:sz w:val="18"/>
        </w:rPr>
        <w:t>INTERNAL USE ONLY — NOT FOR CLIENT DISTRIBUTION</w:t>
      </w:r>
    </w:p>
    <w:p>
      <w:r>
        <w:br w:type="page"/>
      </w:r>
    </w:p>
    <w:p>
      <w:pPr>
        <w:spacing w:before="360" w:after="120"/>
        <w:pBdr>
          <w:bottom w:val="single" w:sz="6" w:space="1" w:color="25aae1"/>
        </w:pBdr>
      </w:pPr>
      <w:r>
        <w:rPr>
          <w:rFonts w:ascii="Calibri" w:hAnsi="Calibri"/>
          <w:b/>
          <w:i w:val="0"/>
          <w:color w:val="25AAE1"/>
          <w:sz w:val="36"/>
        </w:rPr>
        <w:t>Background &amp; Context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ColdOutreachEngine.com is an internal ASG business concept under evaluation by Roger Bauer. The following assessment was produced by the ASG leadership team following a review of the domain, the service model, and the existing one-page website built by Manus.</w:t>
      </w:r>
    </w:p>
    <w:p>
      <w:pPr>
        <w:spacing w:before="0" w:after="0"/>
      </w:pPr>
      <w:r>
        <w:rPr>
          <w:sz w:val="16"/>
        </w:rPr>
      </w:r>
    </w:p>
    <w:p>
      <w:pPr>
        <w:spacing w:before="200" w:after="60"/>
      </w:pPr>
      <w:r>
        <w:rPr>
          <w:rFonts w:ascii="Calibri" w:hAnsi="Calibri"/>
          <w:b/>
          <w:i w:val="0"/>
          <w:color w:val="25AAE1"/>
          <w:sz w:val="24"/>
        </w:rPr>
        <w:t>The Service Model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ColdOutreachEngine.com is a done-for-you cold email infrastructure and managed outreach service for B2B consultants, agencies, and service businesses. The model operates as follows: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ASG builds dedicated sending infrastructure for each client (15+ domains, 30+ inboxes, private SMTP server)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ASG manages ongoing campaign operations — outreach, response handling, meeting booking — on the client's behalf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Approximately 80% of the process is automated through n8n or Make; human oversight handles the remaining 20%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AI voice agents and outbound calling represent a Phase 2 automation layer — not in scope for the initial launch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Affiliate revenue from platform tools (Instantly, Smartlead, etc.) provides a secondary passive income stream on top of client retainers</w:t>
      </w:r>
    </w:p>
    <w:p>
      <w:pPr>
        <w:spacing w:before="0" w:after="0"/>
      </w:pPr>
      <w:r>
        <w:rPr>
          <w:sz w:val="16"/>
        </w:rPr>
      </w:r>
    </w:p>
    <w:p>
      <w:pPr>
        <w:spacing w:before="200" w:after="60"/>
      </w:pPr>
      <w:r>
        <w:rPr>
          <w:rFonts w:ascii="Calibri" w:hAnsi="Calibri"/>
          <w:b/>
          <w:i w:val="0"/>
          <w:color w:val="25AAE1"/>
          <w:sz w:val="24"/>
        </w:rPr>
        <w:t>The Website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A one-page site was produced at predeploy-9b557dfd-coldoutreach-vn9kqlg8-jqsdyamlhrxq2ts8nbapu4.manus.space. The site positions Cold Outreach Engine as a premium done-for-you client acquisition system with a "5 qualified sales meetings in 90 days" pipeline guarantee. Pricing is not disclosed on the page; all traffic is routed to a free strategy call CTA.</w:t>
      </w:r>
    </w:p>
    <w:p>
      <w:pPr>
        <w:spacing w:before="0" w:after="0"/>
      </w:pPr>
      <w:r>
        <w:rPr>
          <w:sz w:val="16"/>
        </w:rPr>
      </w:r>
    </w:p>
    <w:p>
      <w:pPr>
        <w:spacing w:before="160" w:after="160"/>
        <w:ind w:left="432"/>
        <w:pBdr>
          <w:left w:val="single" w:sz="12" w:space="6" w:color="25aae1"/>
        </w:pBdr>
      </w:pPr>
      <w:r>
        <w:rPr>
          <w:rFonts w:ascii="Calibri" w:hAnsi="Calibri"/>
          <w:b/>
          <w:i w:val="0"/>
          <w:color w:val="25AAE1"/>
          <w:sz w:val="22"/>
        </w:rPr>
        <w:t>STATUS: Backburner — Project is on hold pending development of case studies from LGD and DMA engagements. No active client acquisition for this service until proof-of-concept is established.</w:t>
      </w:r>
    </w:p>
    <w:p>
      <w:r>
        <w:br w:type="page"/>
      </w:r>
    </w:p>
    <w:p>
      <w:pPr>
        <w:spacing w:before="360" w:after="120"/>
        <w:pBdr>
          <w:bottom w:val="single" w:sz="6" w:space="1" w:color="25aae1"/>
        </w:pBdr>
      </w:pPr>
      <w:r>
        <w:rPr>
          <w:rFonts w:ascii="Calibri" w:hAnsi="Calibri"/>
          <w:b/>
          <w:i w:val="0"/>
          <w:color w:val="25AAE1"/>
          <w:sz w:val="36"/>
        </w:rPr>
        <w:t>Leadership Team Assessment</w:t>
      </w:r>
    </w:p>
    <w:p>
      <w:pPr>
        <w:spacing w:before="280" w:after="80"/>
      </w:pPr>
      <w:r>
        <w:rPr>
          <w:rFonts w:ascii="Calibri" w:hAnsi="Calibri"/>
          <w:b/>
          <w:i w:val="0"/>
          <w:color w:val="58585A"/>
          <w:sz w:val="28"/>
        </w:rPr>
        <w:t>Daniel Frost — Chief Strategy Officer</w:t>
      </w:r>
    </w:p>
    <w:p>
      <w:pPr>
        <w:spacing w:before="200" w:after="60"/>
      </w:pPr>
      <w:r>
        <w:rPr>
          <w:rFonts w:ascii="Calibri" w:hAnsi="Calibri"/>
          <w:b/>
          <w:i w:val="0"/>
          <w:color w:val="25AAE1"/>
          <w:sz w:val="24"/>
        </w:rPr>
        <w:t>Strategic Positioning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This is a strong complementary play, not a standalone business. The strategic value is not in the service itself — it is in what cold email funds and feeds. ASG is creating a client acquisition engine, then offering it as a productized service. That is a defensible position.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The positioning risk: "cold email infrastructure" sounds commodity. Every freelancer on Upwork does setup. The differentiation must be that ASG clients receive a revenue-producing system, not a configured inbox. The current website copy is closer to the commodity frame.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The real moat is the affiliate stack and the proprietary sending infrastructure. If ASG goes deep on 2-3 tool relationships rather than remaining platform-agnostic, this creates a technical moat most competitors cannot replicate. The infrastructure story — private SMTP server, dedicated domain pools, warmup protocols — is the differentiator. Lean into it.</w:t>
      </w:r>
    </w:p>
    <w:p>
      <w:pPr>
        <w:spacing w:before="160" w:after="160"/>
        <w:ind w:left="432"/>
        <w:pBdr>
          <w:left w:val="single" w:sz="12" w:space="6" w:color="25aae1"/>
        </w:pBdr>
      </w:pPr>
      <w:r>
        <w:rPr>
          <w:rFonts w:ascii="Calibri" w:hAnsi="Calibri"/>
          <w:b/>
          <w:i w:val="0"/>
          <w:color w:val="25AAE1"/>
          <w:sz w:val="22"/>
        </w:rPr>
        <w:t>Strategic priority: Rename "cold email infrastructure" in all positioning. The offer is a revenue-producing client acquisition system. The infrastructure is proof, not the product.</w:t>
      </w:r>
    </w:p>
    <w:p>
      <w:pPr>
        <w:spacing w:before="120" w:after="240"/>
      </w:pPr>
      <w:r>
        <w:rPr>
          <w:rFonts w:ascii="Calibri" w:hAnsi="Calibri"/>
          <w:b w:val="0"/>
          <w:i/>
          <w:color w:val="58585A"/>
          <w:sz w:val="20"/>
        </w:rPr>
        <w:t>— Daniel Frost, CSO  |  Authority Systems Group™</w:t>
      </w:r>
    </w:p>
    <w:p>
      <w:pPr>
        <w:spacing w:before="0" w:after="0"/>
      </w:pPr>
      <w:r>
        <w:rPr>
          <w:sz w:val="20"/>
        </w:rPr>
      </w:r>
    </w:p>
    <w:p>
      <w:pPr>
        <w:spacing w:before="280" w:after="80"/>
      </w:pPr>
      <w:r>
        <w:rPr>
          <w:rFonts w:ascii="Calibri" w:hAnsi="Calibri"/>
          <w:b/>
          <w:i w:val="0"/>
          <w:color w:val="58585A"/>
          <w:sz w:val="28"/>
        </w:rPr>
        <w:t>Vivienne Carr — Chief Marketing Officer</w:t>
      </w:r>
    </w:p>
    <w:p>
      <w:pPr>
        <w:spacing w:before="200" w:after="60"/>
      </w:pPr>
      <w:r>
        <w:rPr>
          <w:rFonts w:ascii="Calibri" w:hAnsi="Calibri"/>
          <w:b/>
          <w:i w:val="0"/>
          <w:color w:val="25AAE1"/>
          <w:sz w:val="24"/>
        </w:rPr>
        <w:t>Copy &amp; Messaging Review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The headline lands: "Double Your Qualified Sales Meetings in 90 Days Without Wasting a Single Minute on Prospecting" is outcome-first, time-bound, and specific. The problem section is well-written — the "trapped in the prospecting grind" frame resonates with the B2B consultant avatar.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Where the copy loses traction: by the middle of the page it defaults to generic agency language. "Battle-tested process." "B2B growth architects." "Value-driven email sequences designed to start conversations, not just send messages." These phrases appear on a thousand competitor pages. There is no proprietary language, no distinctive point of view, nothing that makes Cold Outreach Engine sound built by people with a specific philosophy.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"Trusted by B2B Growth Leaders" with no testimonials, names, or logos underneath is a credibility hole, not a credibility builder. The animated stat counters displaying "0+" in the live site are a technical bug that must be resolved before any marketing drives traffic to the page.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Name the frameworks — give the process proprietary language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Replace generic phrases with position-taking statements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Fix the broken counter animations immediately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Remove or replace social proof claims until real client results exist</w:t>
      </w:r>
    </w:p>
    <w:p>
      <w:pPr>
        <w:spacing w:before="120" w:after="240"/>
      </w:pPr>
      <w:r>
        <w:rPr>
          <w:rFonts w:ascii="Calibri" w:hAnsi="Calibri"/>
          <w:b w:val="0"/>
          <w:i/>
          <w:color w:val="58585A"/>
          <w:sz w:val="20"/>
        </w:rPr>
        <w:t>— Vivienne Carr, CMO  |  Authority Systems Group™</w:t>
      </w:r>
    </w:p>
    <w:p>
      <w:pPr>
        <w:spacing w:before="0" w:after="0"/>
      </w:pPr>
      <w:r>
        <w:rPr>
          <w:sz w:val="20"/>
        </w:rPr>
      </w:r>
    </w:p>
    <w:p>
      <w:pPr>
        <w:spacing w:before="280" w:after="80"/>
      </w:pPr>
      <w:r>
        <w:rPr>
          <w:rFonts w:ascii="Calibri" w:hAnsi="Calibri"/>
          <w:b/>
          <w:i w:val="0"/>
          <w:color w:val="58585A"/>
          <w:sz w:val="28"/>
        </w:rPr>
        <w:t>Tanya Blackwood — Chief Revenue Officer</w:t>
      </w:r>
    </w:p>
    <w:p>
      <w:pPr>
        <w:spacing w:before="200" w:after="60"/>
      </w:pPr>
      <w:r>
        <w:rPr>
          <w:rFonts w:ascii="Calibri" w:hAnsi="Calibri"/>
          <w:b/>
          <w:i w:val="0"/>
          <w:color w:val="25AAE1"/>
          <w:sz w:val="24"/>
        </w:rPr>
        <w:t>Revenue Model &amp; Offer Structure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The model architecture is sound. The setup fee converts the initial sale. Affiliate commissions build a passive income layer that compounds as the client base grows. The value stack on the pricing page is well-constructed — breaking out component values totaling $11,000/month is a classic anchoring move, and the pipeline guarantee is strong.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The missing piece is a retention mechanism. Currently, once setup is complete, client continuity depends on the retainer relationship holding. A light-touch managed service tier — monthly deliverability monitoring, domain rotation, list hygiene consulting — creates a reason to remain engaged and an insurance policy on the affiliate trail.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The CTA is weak. "Book Your Free Strategy Call" is generic. Given the scarcity angle referenced in the FAQ ("limited new clients per month"), the CTA should reinforce that constraint: "Claim Your Spot — We Only Take 8 New Clients Per Month" converts urgency into action.</w:t>
      </w:r>
    </w:p>
    <w:p>
      <w:pPr>
        <w:spacing w:before="160" w:after="160"/>
        <w:ind w:left="432"/>
        <w:pBdr>
          <w:left w:val="single" w:sz="12" w:space="6" w:color="25aae1"/>
        </w:pBdr>
      </w:pPr>
      <w:r>
        <w:rPr>
          <w:rFonts w:ascii="Calibri" w:hAnsi="Calibri"/>
          <w:b/>
          <w:i w:val="0"/>
          <w:color w:val="25AAE1"/>
          <w:sz w:val="22"/>
        </w:rPr>
        <w:t>Fast Cash Opportunity: If Roger has 5 existing ASG clients not currently running cold outreach, that is a $5,000–$15,000 setup week with minimal overhead and zero new marketing required.</w:t>
      </w:r>
    </w:p>
    <w:p>
      <w:pPr>
        <w:spacing w:before="120" w:after="240"/>
      </w:pPr>
      <w:r>
        <w:rPr>
          <w:rFonts w:ascii="Calibri" w:hAnsi="Calibri"/>
          <w:b w:val="0"/>
          <w:i/>
          <w:color w:val="58585A"/>
          <w:sz w:val="20"/>
        </w:rPr>
        <w:t>— Tanya Blackwood, CRO  |  Authority Systems Group™</w:t>
      </w:r>
    </w:p>
    <w:p>
      <w:pPr>
        <w:spacing w:before="0" w:after="0"/>
      </w:pPr>
      <w:r>
        <w:rPr>
          <w:sz w:val="20"/>
        </w:rPr>
      </w:r>
    </w:p>
    <w:p>
      <w:pPr>
        <w:spacing w:before="280" w:after="80"/>
      </w:pPr>
      <w:r>
        <w:rPr>
          <w:rFonts w:ascii="Calibri" w:hAnsi="Calibri"/>
          <w:b/>
          <w:i w:val="0"/>
          <w:color w:val="58585A"/>
          <w:sz w:val="28"/>
        </w:rPr>
        <w:t>Iris Nolan — Chief Technology Officer</w:t>
      </w:r>
    </w:p>
    <w:p>
      <w:pPr>
        <w:spacing w:before="200" w:after="60"/>
      </w:pPr>
      <w:r>
        <w:rPr>
          <w:rFonts w:ascii="Calibri" w:hAnsi="Calibri"/>
          <w:b/>
          <w:i w:val="0"/>
          <w:color w:val="25AAE1"/>
          <w:sz w:val="24"/>
        </w:rPr>
        <w:t>Automation Architecture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80% automation is achievable and realistic for this service model. The split between automated and human-handled tasks is well-defined once the client intake SOP is standardized.</w:t>
      </w:r>
    </w:p>
    <w:p>
      <w:pPr>
        <w:spacing w:before="200" w:after="60"/>
      </w:pPr>
      <w:r>
        <w:rPr>
          <w:rFonts w:ascii="Calibri" w:hAnsi="Calibri"/>
          <w:b/>
          <w:i w:val="0"/>
          <w:color w:val="25AAE1"/>
          <w:sz w:val="24"/>
        </w:rPr>
        <w:t>Automatable via n8n or Make: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Infrastructure provisioning triggers (domain purchase workflow, DNS config, mailbox setup notifications)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Contact list processing and verification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Campaign launch sequencing and scheduling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Response classification: interested / not interested / out of office / unsubscribe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Meeting booking handoff once a positive reply is detected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Monthly reporting compilation and client Slack notifications</w:t>
      </w:r>
    </w:p>
    <w:p>
      <w:pPr>
        <w:spacing w:before="200" w:after="60"/>
      </w:pPr>
      <w:r>
        <w:rPr>
          <w:rFonts w:ascii="Calibri" w:hAnsi="Calibri"/>
          <w:b/>
          <w:i w:val="0"/>
          <w:color w:val="25AAE1"/>
          <w:sz w:val="24"/>
        </w:rPr>
        <w:t>Requires human review (the 20%):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Initial ICP definition and strategy per client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Email sequence writing (AI drafts, human approves)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Positive replies that do not fit the standard booking flow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Edge cases: angry responses, legal threats, domain blacklisting incidents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The AI voice agent and outbound calling layer is correctly parked for Phase 2. Get the email automation running cleanly first — that is a complete build on its own. n8n is the preferred platform for self-hosted control; Make is faster if the goal is getting something live within a week.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Critical dependency: a client portal or structured Airtable tracker is required to maintain affiliate attribution per client. That audit trail is the revenue record.</w:t>
      </w:r>
    </w:p>
    <w:p>
      <w:pPr>
        <w:spacing w:before="160" w:after="160"/>
        <w:ind w:left="432"/>
        <w:pBdr>
          <w:left w:val="single" w:sz="12" w:space="6" w:color="25aae1"/>
        </w:pBdr>
      </w:pPr>
      <w:r>
        <w:rPr>
          <w:rFonts w:ascii="Calibri" w:hAnsi="Calibri"/>
          <w:b/>
          <w:i w:val="0"/>
          <w:color w:val="25AAE1"/>
          <w:sz w:val="22"/>
        </w:rPr>
        <w:t>Architecture note: Standardize the client intake form tightly before building automation. The quality of automation output is directly proportional to the quality of intake data.</w:t>
      </w:r>
    </w:p>
    <w:p>
      <w:pPr>
        <w:spacing w:before="120" w:after="240"/>
      </w:pPr>
      <w:r>
        <w:rPr>
          <w:rFonts w:ascii="Calibri" w:hAnsi="Calibri"/>
          <w:b w:val="0"/>
          <w:i/>
          <w:color w:val="58585A"/>
          <w:sz w:val="20"/>
        </w:rPr>
        <w:t>— Iris Nolan, CTO  |  Authority Systems Group™</w:t>
      </w:r>
    </w:p>
    <w:p>
      <w:pPr>
        <w:spacing w:before="0" w:after="0"/>
      </w:pPr>
      <w:r>
        <w:rPr>
          <w:sz w:val="20"/>
        </w:rPr>
      </w:r>
    </w:p>
    <w:p>
      <w:pPr>
        <w:spacing w:before="280" w:after="80"/>
      </w:pPr>
      <w:r>
        <w:rPr>
          <w:rFonts w:ascii="Calibri" w:hAnsi="Calibri"/>
          <w:b/>
          <w:i w:val="0"/>
          <w:color w:val="58585A"/>
          <w:sz w:val="28"/>
        </w:rPr>
        <w:t>James Whitfield III — Board, Revenue Architecture</w:t>
      </w:r>
    </w:p>
    <w:p>
      <w:pPr>
        <w:spacing w:before="200" w:after="60"/>
      </w:pPr>
      <w:r>
        <w:rPr>
          <w:rFonts w:ascii="Calibri" w:hAnsi="Calibri"/>
          <w:b/>
          <w:i w:val="0"/>
          <w:color w:val="25AAE1"/>
          <w:sz w:val="24"/>
        </w:rPr>
        <w:t>Pricing Strategy &amp; Unit Economics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With 80% automation, cost-to-serve drops significantly. The unit economics at standard pricing are attractive: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Setup fee: $1,500–$2,500 (one-time, covers infrastructure build and initial sequence writing)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Monthly retainer: $1,500–$2,500/month (sending infrastructure, list procurement, automated management, human oversight)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Hard costs per client: ~$300–$500/month (tools, SMTP, list data, contractor time for the 20%)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Gross margin per active client: 70–80%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At 20 active clients: $30,000–$50,000/month in retainer revenue with $24,000–$40,000 gross margin. At 50 clients on a light managed plan, this becomes a mid-five-figure annual passive revenue stream requiring almost no new selling.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Pricing guidance: Do not undercharge the setup fee to drive volume. The affiliate tail is only valuable if the client is well-configured and succeeds — which requires margin in the setup to execute correctly. Below $1,500 and corners get cut or money gets lost on labor.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The affiliate passive income stream is now secondary. The retainer is the primary revenue engine. Build pricing around the retainer and treat affiliate commissions as found money.</w:t>
      </w:r>
    </w:p>
    <w:p>
      <w:pPr>
        <w:spacing w:before="120" w:after="240"/>
      </w:pPr>
      <w:r>
        <w:rPr>
          <w:rFonts w:ascii="Calibri" w:hAnsi="Calibri"/>
          <w:b w:val="0"/>
          <w:i/>
          <w:color w:val="58585A"/>
          <w:sz w:val="20"/>
        </w:rPr>
        <w:t>— James Whitfield III, Board — Revenue Architecture  |  Authority Systems Group™</w:t>
      </w:r>
    </w:p>
    <w:p>
      <w:pPr>
        <w:spacing w:before="0" w:after="0"/>
      </w:pPr>
      <w:r>
        <w:rPr>
          <w:sz w:val="20"/>
        </w:rPr>
      </w:r>
    </w:p>
    <w:p>
      <w:pPr>
        <w:spacing w:before="280" w:after="80"/>
      </w:pPr>
      <w:r>
        <w:rPr>
          <w:rFonts w:ascii="Calibri" w:hAnsi="Calibri"/>
          <w:b/>
          <w:i w:val="0"/>
          <w:color w:val="58585A"/>
          <w:sz w:val="28"/>
        </w:rPr>
        <w:t>Sofia Vega — Board, Operational Feasibility</w:t>
      </w:r>
    </w:p>
    <w:p>
      <w:pPr>
        <w:spacing w:before="200" w:after="60"/>
      </w:pPr>
      <w:r>
        <w:rPr>
          <w:rFonts w:ascii="Calibri" w:hAnsi="Calibri"/>
          <w:b/>
          <w:i w:val="0"/>
          <w:color w:val="25AAE1"/>
          <w:sz w:val="24"/>
        </w:rPr>
        <w:t>Operational Readiness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The model is feasible at scale. The primary concern is the transition period: the first 3–5 clients before automation is fully operational will be onboarded manually or semi-manually. Roger is the system during that window. That is not a disqualifier — it is the standard path for this type of build — but it should be planned for explicitly.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Recommended sequencing: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Sell 2–3 clients manually — use the process to document every step in granular detail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Iris builds the automation from that SOP — not from a theoretical process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Client 4+ onboards through the automated system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Do not sell beyond manual handling capacity until automation is live and proven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Three questions must be answered in writing before the first client is signed: (1) What does the client receive? (2) What is the delivery timeline? (3) Where does ASG's scope end — setup only, or ongoing management? Answered clearly in the contract, these prevent the first five clients from becoming support nightmares.</w:t>
      </w:r>
    </w:p>
    <w:p>
      <w:pPr>
        <w:spacing w:before="160" w:after="160"/>
        <w:ind w:left="432"/>
        <w:pBdr>
          <w:left w:val="single" w:sz="12" w:space="6" w:color="25aae1"/>
        </w:pBdr>
      </w:pPr>
      <w:r>
        <w:rPr>
          <w:rFonts w:ascii="Calibri" w:hAnsi="Calibri"/>
          <w:b/>
          <w:i w:val="0"/>
          <w:color w:val="25AAE1"/>
          <w:sz w:val="22"/>
        </w:rPr>
        <w:t>The website copy is correct for the managed model. "Done-for-you" is accurate whether the process is automated or manual. The client does not need to know the delivery mechanism — only the outcome.</w:t>
      </w:r>
    </w:p>
    <w:p>
      <w:pPr>
        <w:spacing w:before="120" w:after="240"/>
      </w:pPr>
      <w:r>
        <w:rPr>
          <w:rFonts w:ascii="Calibri" w:hAnsi="Calibri"/>
          <w:b w:val="0"/>
          <w:i/>
          <w:color w:val="58585A"/>
          <w:sz w:val="20"/>
        </w:rPr>
        <w:t>— Sofia Vega, Board — Operational Feasibility  |  Authority Systems Group™</w:t>
      </w:r>
    </w:p>
    <w:p>
      <w:r>
        <w:br w:type="page"/>
      </w:r>
    </w:p>
    <w:p>
      <w:pPr>
        <w:spacing w:before="360" w:after="120"/>
        <w:pBdr>
          <w:bottom w:val="single" w:sz="6" w:space="1" w:color="25aae1"/>
        </w:pBdr>
      </w:pPr>
      <w:r>
        <w:rPr>
          <w:rFonts w:ascii="Calibri" w:hAnsi="Calibri"/>
          <w:b/>
          <w:i w:val="0"/>
          <w:color w:val="25AAE1"/>
          <w:sz w:val="36"/>
        </w:rPr>
        <w:t>Leadership Consensus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8585A"/>
          <w:sz w:val="22"/>
        </w:rPr>
        <w:t>The Cold Outreach Engine concept is strategically sound. The managed + heavily automated model is the optimal configuration: it commands premium pricing while maintaining commodity-level labor cost, and the pipeline guarantee becomes a sales tool rather than a genuine liability once the automation is refined.</w:t>
      </w:r>
    </w:p>
    <w:p>
      <w:pPr>
        <w:spacing w:before="200" w:after="60"/>
      </w:pPr>
      <w:r>
        <w:rPr>
          <w:rFonts w:ascii="Calibri" w:hAnsi="Calibri"/>
          <w:b/>
          <w:i w:val="0"/>
          <w:color w:val="25AAE1"/>
          <w:sz w:val="24"/>
        </w:rPr>
        <w:t>What Works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The business model architecture — setup fee + monthly retainer + affiliate passive income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The pipeline guarantee as a conversion mechanism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The technical differentiation of proprietary sending infrastructure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80% automation target reducing cost-to-serve to 70–80% gross margin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The one-page website structure — bones are right, copy needs sharpening</w:t>
      </w:r>
    </w:p>
    <w:p>
      <w:pPr>
        <w:spacing w:before="200" w:after="60"/>
      </w:pPr>
      <w:r>
        <w:rPr>
          <w:rFonts w:ascii="Calibri" w:hAnsi="Calibri"/>
          <w:b/>
          <w:i w:val="0"/>
          <w:color w:val="25AAE1"/>
          <w:sz w:val="24"/>
        </w:rPr>
        <w:t>What Needs Work Before Launch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Fix broken animated stat counters on the website immediately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Rewrite copy to eliminate generic agency language and introduce proprietary framework names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Replace or remove unsubstantiated social proof claims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Strengthen the CTA with scarcity-anchored language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Define "qualified meeting" in writing before the first client contract is signed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Document the full manual onboarding SOP across 2–3 initial clients before building automation</w:t>
      </w:r>
    </w:p>
    <w:p>
      <w:pPr>
        <w:pStyle w:val="ListBullet"/>
        <w:spacing w:before="0" w:after="80"/>
        <w:ind w:left="432"/>
      </w:pPr>
      <w:r>
        <w:rPr>
          <w:rFonts w:ascii="Calibri" w:hAnsi="Calibri"/>
          <w:b w:val="0"/>
          <w:i w:val="0"/>
          <w:color w:val="58585A"/>
          <w:sz w:val="22"/>
        </w:rPr>
        <w:t>Build Airtable or equivalent tracker for affiliate attribution per client</w:t>
      </w:r>
    </w:p>
    <w:p>
      <w:pPr>
        <w:spacing w:before="200" w:after="60"/>
      </w:pPr>
      <w:r>
        <w:rPr>
          <w:rFonts w:ascii="Calibri" w:hAnsi="Calibri"/>
          <w:b/>
          <w:i w:val="0"/>
          <w:color w:val="25AAE1"/>
          <w:sz w:val="24"/>
        </w:rPr>
        <w:t>Project Status</w:t>
      </w:r>
    </w:p>
    <w:p>
      <w:pPr>
        <w:spacing w:before="160" w:after="160"/>
        <w:ind w:left="432"/>
        <w:pBdr>
          <w:left w:val="single" w:sz="12" w:space="6" w:color="25aae1"/>
        </w:pBdr>
      </w:pPr>
      <w:r>
        <w:rPr>
          <w:rFonts w:ascii="Calibri" w:hAnsi="Calibri"/>
          <w:b/>
          <w:i w:val="0"/>
          <w:color w:val="25AAE1"/>
          <w:sz w:val="22"/>
        </w:rPr>
        <w:t>BACKBURNER — No active sales or marketing for ColdOutreachEngine.com until case studies are developed from LGD and DMA engagements. Case study availability is the trigger for re-activating this project. At that point, Tanya's fast cash sprint angle (closing existing ASG clients on setup service first) is the recommended Day 1 move.</w:t>
      </w:r>
    </w:p>
    <w:p>
      <w:pPr>
        <w:spacing w:before="0" w:after="0"/>
      </w:pPr>
      <w:r>
        <w:rPr>
          <w:sz w:val="32"/>
        </w:rPr>
      </w:r>
    </w:p>
    <w:p>
      <w:pPr>
        <w:spacing w:before="240"/>
        <w:pBdr>
          <w:top w:val="single" w:sz="4" w:space="1" w:color="25aae1"/>
        </w:pBdr>
      </w:pPr>
      <w:r>
        <w:rPr>
          <w:rFonts w:ascii="Calibri" w:hAnsi="Calibri"/>
          <w:i/>
          <w:color w:val="58585A"/>
          <w:sz w:val="18"/>
        </w:rPr>
        <w:t>Authority Systems Group™ — Confidential. Internal Use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6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25aae1"/>
      </w:pBdr>
      <w:tabs>
        <w:tab w:val="right" w:pos="9360"/>
      </w:tabs>
    </w:pPr>
    <w:r>
      <w:rPr>
        <w:rFonts w:ascii="Calibri" w:hAnsi="Calibri"/>
        <w:color w:val="58585A"/>
        <w:sz w:val="18"/>
      </w:rPr>
      <w:t>Authority Systems Group™  |  AuthoritySystemsGroup.com  |  Internal Use Only</w:t>
    </w:r>
    <w:r>
      <w:rPr>
        <w:rFonts w:ascii="Calibri" w:hAnsi="Calibri"/>
        <w:color w:val="58585A"/>
        <w:sz w:val="18"/>
      </w:rPr>
      <w:tab/>
      <w:t xml:space="preserve">Page </w:t>
    </w:r>
    <w:r>
      <w:rPr>
        <w:rFonts w:ascii="Calibri" w:hAnsi="Calibri"/>
        <w:color w:val="58585A"/>
        <w:sz w:val="18"/>
      </w:rPr>
      <w:fldChar w:fldCharType="begin"/>
    </w:r>
    <w:r>
      <w:instrText xml:space="preserve"> PAGE </w:instrText>
    </w:r>
    <w:r>
      <w:rPr>
        <w:rFonts w:ascii="Calibri" w:hAnsi="Calibri"/>
        <w:color w:val="58585A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9360"/>
      </w:tabs>
      <w:pBdr>
        <w:bottom w:val="single" w:sz="6" w:space="1" w:color="25aae1"/>
      </w:pBdr>
    </w:pPr>
    <w:r>
      <w:drawing>
        <wp:inline xmlns:a="http://schemas.openxmlformats.org/drawingml/2006/main" xmlns:pic="http://schemas.openxmlformats.org/drawingml/2006/picture">
          <wp:extent cx="1280160" cy="61556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sgFu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615564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color w:val="58585A"/>
        <w:sz w:val="18"/>
      </w:rPr>
      <w:tab/>
      <w:t>ColdOutreachEngine.com — Internal Strategic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