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a1a1a" w:color="auto" w:val="clear"/>
        <w:spacing w:before="0" w:after="80"/>
        <w:jc w:val="center"/>
      </w:pPr>
      <w:r>
        <w:rPr>
          <w:rFonts w:ascii="Calibri" w:hAnsi="Calibri"/>
          <w:b w:val="0"/>
          <w:color w:val="FFFFFF"/>
          <w:sz w:val="12"/>
        </w:rPr>
      </w:r>
    </w:p>
    <w:p>
      <w:pPr>
        <w:shd w:fill="1a1a1a" w:color="auto" w:val="clear"/>
        <w:spacing w:before="0" w:after="80"/>
        <w:jc w:val="center"/>
      </w:pPr>
      <w:r>
        <w:rPr>
          <w:rFonts w:ascii="Calibri" w:hAnsi="Calibri"/>
          <w:b w:val="0"/>
          <w:color w:val="FFFFFF"/>
          <w:sz w:val="12"/>
        </w:rPr>
      </w:r>
    </w:p>
    <w:p>
      <w:pPr>
        <w:shd w:fill="1a1a1a" w:color="auto" w:val="clear"/>
        <w:spacing w:before="0" w:after="80"/>
        <w:jc w:val="center"/>
      </w:pPr>
      <w:r>
        <w:rPr>
          <w:rFonts w:ascii="Calibri" w:hAnsi="Calibri"/>
          <w:b w:val="0"/>
          <w:color w:val="FFFFFF"/>
          <w:sz w:val="12"/>
        </w:rPr>
      </w:r>
    </w:p>
    <w:p>
      <w:pPr>
        <w:shd w:fill="1a1a1a" w:color="auto" w:val="clear"/>
        <w:spacing w:before="0" w:after="80"/>
        <w:jc w:val="center"/>
      </w:pPr>
      <w:r>
        <w:rPr>
          <w:rFonts w:ascii="Calibri" w:hAnsi="Calibri"/>
          <w:b w:val="0"/>
          <w:color w:val="FFFFFF"/>
          <w:sz w:val="12"/>
        </w:rPr>
      </w:r>
    </w:p>
    <w:p>
      <w:pPr>
        <w:shd w:fill="1a1a1a" w:color="auto" w:val="clear"/>
        <w:spacing w:before="0" w:after="80"/>
        <w:jc w:val="center"/>
      </w:pPr>
      <w:r>
        <w:rPr>
          <w:rFonts w:ascii="Calibri" w:hAnsi="Calibri"/>
          <w:b w:val="0"/>
          <w:color w:val="FFFFFF"/>
          <w:sz w:val="12"/>
        </w:rPr>
      </w:r>
    </w:p>
    <w:p>
      <w:pPr>
        <w:shd w:fill="1a1a1a" w:color="auto" w:val="clear"/>
        <w:spacing w:before="0" w:after="80"/>
        <w:jc w:val="center"/>
      </w:pPr>
      <w:r>
        <w:rPr>
          <w:rFonts w:ascii="Calibri" w:hAnsi="Calibri"/>
          <w:b w:val="0"/>
          <w:color w:val="FFFFFF"/>
          <w:sz w:val="12"/>
        </w:rPr>
      </w:r>
    </w:p>
    <w:p>
      <w:pPr>
        <w:shd w:fill="1a1a1a" w:color="auto" w:val="clear"/>
        <w:spacing w:before="0" w:after="120"/>
        <w:jc w:val="center"/>
      </w:pPr>
      <w:r>
        <w:drawing>
          <wp:inline xmlns:a="http://schemas.openxmlformats.org/drawingml/2006/main" xmlns:pic="http://schemas.openxmlformats.org/drawingml/2006/picture">
            <wp:extent cx="2011680" cy="967315"/>
            <wp:docPr id="1" name="Picture 1"/>
            <wp:cNvGraphicFramePr>
              <a:graphicFrameLocks noChangeAspect="1"/>
            </wp:cNvGraphicFramePr>
            <a:graphic>
              <a:graphicData uri="http://schemas.openxmlformats.org/drawingml/2006/picture">
                <pic:pic>
                  <pic:nvPicPr>
                    <pic:cNvPr id="0" name="asgFull.png"/>
                    <pic:cNvPicPr/>
                  </pic:nvPicPr>
                  <pic:blipFill>
                    <a:blip r:embed="rId9"/>
                    <a:stretch>
                      <a:fillRect/>
                    </a:stretch>
                  </pic:blipFill>
                  <pic:spPr>
                    <a:xfrm>
                      <a:off x="0" y="0"/>
                      <a:ext cx="2011680" cy="967315"/>
                    </a:xfrm>
                    <a:prstGeom prst="rect"/>
                  </pic:spPr>
                </pic:pic>
              </a:graphicData>
            </a:graphic>
          </wp:inline>
        </w:drawing>
      </w:r>
    </w:p>
    <w:p>
      <w:pPr>
        <w:shd w:fill="1a1a1a" w:color="auto" w:val="clear"/>
        <w:spacing w:before="0" w:after="40"/>
        <w:jc w:val="center"/>
      </w:pPr>
      <w:r>
        <w:rPr>
          <w:rFonts w:ascii="Calibri" w:hAnsi="Calibri"/>
          <w:b w:val="0"/>
          <w:color w:val="80D0F0"/>
          <w:sz w:val="22"/>
        </w:rPr>
        <w:t>Positioning You As The Authority</w:t>
      </w:r>
    </w:p>
    <w:p>
      <w:pPr>
        <w:shd w:fill="1a1a1a" w:color="auto" w:val="clear"/>
        <w:spacing w:before="320" w:after="40"/>
        <w:jc w:val="center"/>
      </w:pPr>
      <w:r>
        <w:rPr>
          <w:color w:val="25AAE1"/>
          <w:sz w:val="20"/>
        </w:rPr>
        <w:t>──────────────────────────────────────────────────</w:t>
      </w:r>
    </w:p>
    <w:p>
      <w:pPr>
        <w:shd w:fill="1a1a1a" w:color="auto" w:val="clear"/>
        <w:spacing w:before="0" w:after="40"/>
        <w:jc w:val="center"/>
      </w:pPr>
      <w:r>
        <w:rPr>
          <w:rFonts w:ascii="Calibri" w:hAnsi="Calibri"/>
          <w:b w:val="0"/>
          <w:color w:val="FFFFFF"/>
          <w:sz w:val="16"/>
        </w:rPr>
      </w:r>
    </w:p>
    <w:p>
      <w:pPr>
        <w:shd w:fill="1a1a1a" w:color="auto" w:val="clear"/>
        <w:spacing w:before="0" w:after="40"/>
        <w:jc w:val="center"/>
      </w:pPr>
      <w:r>
        <w:rPr>
          <w:rFonts w:ascii="Calibri" w:hAnsi="Calibri"/>
          <w:b w:val="0"/>
          <w:color w:val="999999"/>
          <w:sz w:val="20"/>
        </w:rPr>
        <w:t>NICHE INTELLIGENCE LIBRARY</w:t>
      </w:r>
    </w:p>
    <w:p>
      <w:pPr>
        <w:shd w:fill="1a1a1a" w:color="auto" w:val="clear"/>
        <w:spacing w:before="0" w:after="40"/>
        <w:jc w:val="center"/>
      </w:pPr>
      <w:r>
        <w:rPr>
          <w:rFonts w:ascii="Calibri" w:hAnsi="Calibri"/>
          <w:b w:val="0"/>
          <w:color w:val="FFFFFF"/>
          <w:sz w:val="8"/>
        </w:rPr>
      </w:r>
    </w:p>
    <w:p>
      <w:pPr>
        <w:shd w:fill="1a1a1a" w:color="auto" w:val="clear"/>
        <w:spacing w:before="0" w:after="80"/>
        <w:jc w:val="center"/>
      </w:pPr>
      <w:r>
        <w:rPr>
          <w:rFonts w:ascii="Calibri" w:hAnsi="Calibri"/>
          <w:b/>
          <w:color w:val="FFFFFF"/>
          <w:sz w:val="60"/>
        </w:rPr>
        <w:t>AUDIENCE PERSONA</w:t>
      </w:r>
    </w:p>
    <w:p>
      <w:pPr>
        <w:shd w:fill="1a1a1a" w:color="auto" w:val="clear"/>
        <w:spacing w:before="0" w:after="40"/>
        <w:jc w:val="center"/>
      </w:pPr>
      <w:r>
        <w:rPr>
          <w:rFonts w:ascii="Calibri" w:hAnsi="Calibri"/>
          <w:b w:val="0"/>
          <w:color w:val="25AAE1"/>
          <w:sz w:val="40"/>
        </w:rPr>
        <w:t>Local Optometrist</w:t>
      </w:r>
    </w:p>
    <w:p>
      <w:pPr>
        <w:shd w:fill="1a1a1a" w:color="auto" w:val="clear"/>
        <w:spacing w:before="0" w:after="40"/>
        <w:jc w:val="center"/>
      </w:pPr>
      <w:r>
        <w:rPr>
          <w:rFonts w:ascii="Calibri" w:hAnsi="Calibri"/>
          <w:b w:val="0"/>
          <w:color w:val="CCCCCC"/>
          <w:sz w:val="26"/>
        </w:rPr>
        <w:t>Independent Practice — Premium Patient Growth</w:t>
      </w:r>
    </w:p>
    <w:p>
      <w:pPr>
        <w:shd w:fill="1a1a1a" w:color="auto" w:val="clear"/>
        <w:spacing w:before="0" w:after="40"/>
        <w:jc w:val="center"/>
      </w:pPr>
      <w:r>
        <w:rPr>
          <w:rFonts w:ascii="Calibri" w:hAnsi="Calibri"/>
          <w:b w:val="0"/>
          <w:color w:val="FFFFFF"/>
          <w:sz w:val="24"/>
        </w:rPr>
      </w:r>
    </w:p>
    <w:p>
      <w:pPr>
        <w:shd w:fill="1a1a1a" w:color="auto" w:val="clear"/>
        <w:spacing w:before="0" w:after="240"/>
        <w:jc w:val="center"/>
      </w:pPr>
      <w:r>
        <w:rPr>
          <w:color w:val="25AAE1"/>
          <w:sz w:val="24"/>
        </w:rPr>
        <w:t>●  ●  ●</w:t>
      </w:r>
    </w:p>
    <w:p>
      <w:pPr>
        <w:shd w:fill="1a1a1a" w:color="auto" w:val="clear"/>
        <w:spacing w:before="0" w:after="80"/>
        <w:jc w:val="center"/>
      </w:pPr>
      <w:r>
        <w:rPr>
          <w:rFonts w:ascii="Calibri" w:hAnsi="Calibri"/>
          <w:b w:val="0"/>
          <w:color w:val="AAAAAA"/>
          <w:sz w:val="20"/>
        </w:rPr>
        <w:t>Prepared by Vivienne Carr, CMO + Daniel Frost, CSO</w:t>
      </w:r>
    </w:p>
    <w:p>
      <w:pPr>
        <w:shd w:fill="1a1a1a" w:color="auto" w:val="clear"/>
        <w:spacing w:before="0" w:after="80"/>
        <w:jc w:val="center"/>
      </w:pPr>
      <w:r>
        <w:rPr>
          <w:rFonts w:ascii="Calibri" w:hAnsi="Calibri"/>
          <w:b w:val="0"/>
          <w:color w:val="777777"/>
          <w:sz w:val="18"/>
        </w:rPr>
        <w:t>Authority Systems Group™  —  March 2026  —  Internal Use Only</w:t>
      </w:r>
    </w:p>
    <w:p>
      <w:pPr>
        <w:shd w:fill="1a1a1a" w:color="auto" w:val="clear"/>
        <w:spacing w:before="0" w:after="80"/>
        <w:jc w:val="center"/>
      </w:pPr>
      <w:r>
        <w:rPr>
          <w:rFonts w:ascii="Calibri" w:hAnsi="Calibri"/>
          <w:b w:val="0"/>
          <w:color w:val="FFFFFF"/>
          <w:sz w:val="12"/>
        </w:rPr>
      </w:r>
    </w:p>
    <w:p>
      <w:pPr>
        <w:shd w:fill="1a1a1a" w:color="auto" w:val="clear"/>
        <w:spacing w:before="0" w:after="80"/>
        <w:jc w:val="center"/>
      </w:pPr>
      <w:r>
        <w:rPr>
          <w:rFonts w:ascii="Calibri" w:hAnsi="Calibri"/>
          <w:b w:val="0"/>
          <w:color w:val="FFFFFF"/>
          <w:sz w:val="12"/>
        </w:rPr>
      </w:r>
    </w:p>
    <w:p>
      <w:pPr>
        <w:shd w:fill="1a1a1a" w:color="auto" w:val="clear"/>
        <w:spacing w:before="0" w:after="80"/>
        <w:jc w:val="center"/>
      </w:pPr>
      <w:r>
        <w:rPr>
          <w:rFonts w:ascii="Calibri" w:hAnsi="Calibri"/>
          <w:b w:val="0"/>
          <w:color w:val="FFFFFF"/>
          <w:sz w:val="12"/>
        </w:rPr>
      </w:r>
    </w:p>
    <w:p>
      <w:pPr>
        <w:shd w:fill="1a1a1a" w:color="auto" w:val="clear"/>
        <w:spacing w:before="0" w:after="80"/>
        <w:jc w:val="center"/>
      </w:pPr>
      <w:r>
        <w:rPr>
          <w:rFonts w:ascii="Calibri" w:hAnsi="Calibri"/>
          <w:b w:val="0"/>
          <w:color w:val="FFFFFF"/>
          <w:sz w:val="12"/>
        </w:rPr>
      </w:r>
    </w:p>
    <w:p>
      <w:pPr>
        <w:shd w:fill="1a1a1a" w:color="auto" w:val="clear"/>
        <w:spacing w:before="0" w:after="80"/>
        <w:jc w:val="center"/>
      </w:pPr>
      <w:r>
        <w:rPr>
          <w:rFonts w:ascii="Calibri" w:hAnsi="Calibri"/>
          <w:b w:val="0"/>
          <w:color w:val="FFFFFF"/>
          <w:sz w:val="12"/>
        </w:rPr>
      </w:r>
    </w:p>
    <w:p>
      <w:pPr>
        <w:shd w:fill="1a1a1a" w:color="auto" w:val="clear"/>
        <w:spacing w:before="0" w:after="80"/>
        <w:jc w:val="center"/>
      </w:pPr>
      <w:r>
        <w:rPr>
          <w:rFonts w:ascii="Calibri" w:hAnsi="Calibri"/>
          <w:b w:val="0"/>
          <w:color w:val="FFFFFF"/>
          <w:sz w:val="12"/>
        </w:rPr>
      </w:r>
    </w:p>
    <w:p>
      <w:pPr>
        <w:shd w:fill="1a1a1a" w:color="auto" w:val="clear"/>
        <w:spacing w:before="0" w:after="80"/>
        <w:jc w:val="center"/>
      </w:pPr>
      <w:r>
        <w:rPr>
          <w:rFonts w:ascii="Calibri" w:hAnsi="Calibri"/>
          <w:b w:val="0"/>
          <w:color w:val="FFFFFF"/>
          <w:sz w:val="12"/>
        </w:rPr>
      </w:r>
    </w:p>
    <w:p>
      <w:pPr>
        <w:shd w:fill="1a1a1a" w:color="auto" w:val="clear"/>
        <w:spacing w:before="0" w:after="80"/>
        <w:jc w:val="center"/>
      </w:pPr>
      <w:r>
        <w:rPr>
          <w:rFonts w:ascii="Calibri" w:hAnsi="Calibri"/>
          <w:b w:val="0"/>
          <w:color w:val="FFFFFF"/>
          <w:sz w:val="12"/>
        </w:rPr>
      </w:r>
    </w:p>
    <w:p>
      <w:pPr>
        <w:spacing w:before="0" w:after="0"/>
      </w:pPr>
      <w:r>
        <w:br w:type="page"/>
      </w:r>
    </w:p>
    <w:p>
      <w:pPr>
        <w:sectPr>
          <w:footerReference w:type="default" r:id="rId10"/>
          <w:pgSz w:w="12240" w:h="15840"/>
          <w:pgMar w:top="0" w:right="0" w:bottom="0" w:left="0" w:header="720" w:footer="720" w:gutter="0"/>
          <w:cols w:space="720"/>
          <w:docGrid w:linePitch="360"/>
        </w:sectPr>
      </w:pPr>
    </w:p>
    <w:p>
      <w:pPr>
        <w:spacing w:before="360" w:after="120"/>
        <w:pBdr>
          <w:bottom w:val="single" w:sz="8" w:space="1" w:color="25aae1"/>
        </w:pBdr>
      </w:pPr>
      <w:r>
        <w:rPr>
          <w:rFonts w:ascii="Calibri" w:hAnsi="Calibri"/>
          <w:b/>
          <w:color w:val="25AAE1"/>
          <w:sz w:val="40"/>
        </w:rPr>
        <w:t>NICHE OVERVIEW</w:t>
      </w:r>
    </w:p>
    <w:p>
      <w:pPr>
        <w:spacing w:before="0" w:after="120"/>
      </w:pPr>
      <w:r>
        <w:rPr>
          <w:rFonts w:ascii="Calibri" w:hAnsi="Calibri"/>
          <w:color w:val="333333"/>
          <w:sz w:val="21"/>
        </w:rPr>
        <w:t>The independent optometrist niche requires precision positioning — not a lead generation campaign. The OD is not invisible. They are miscategorized. The market sees them as interchangeable with every LensCrafters, Walmart Vision, and online eyewear retailer in the zip code.</w:t>
      </w:r>
    </w:p>
    <w:p>
      <w:pPr>
        <w:spacing w:before="0" w:after="120"/>
      </w:pPr>
      <w:r>
        <w:rPr>
          <w:rFonts w:ascii="Calibri" w:hAnsi="Calibri"/>
          <w:color w:val="333333"/>
          <w:sz w:val="21"/>
        </w:rPr>
        <w:t>Patients who don’t know better make decisions on price, convenience, and insurance coverage. The patients this OD wants — those who value clinical judgment, buy premium optical, and refer their families — are already in the market. They’re just not finding this practice.</w:t>
      </w:r>
    </w:p>
    <w:p>
      <w:pPr>
        <w:shd w:fill="EAF6FC" w:color="auto" w:val="clear"/>
        <w:pBdr>
          <w:left w:val="single" w:sz="20" w:space="120" w:color="25aae1"/>
        </w:pBdr>
        <w:spacing w:before="120" w:after="120"/>
        <w:ind w:left="216"/>
      </w:pPr>
      <w:r>
        <w:rPr>
          <w:rFonts w:ascii="Calibri" w:hAnsi="Calibri"/>
          <w:color w:val="58585A"/>
          <w:sz w:val="21"/>
        </w:rPr>
        <w:t>The goal: become the recognized eye care authority in their community — the doctor that quality-minded patients seek out pre-sold, pre-trusting, and already committed to buying their optical in-office rather than taking the prescription to Zenni.</w:t>
      </w:r>
    </w:p>
    <w:p>
      <w:pPr>
        <w:spacing w:before="240" w:after="80"/>
      </w:pPr>
      <w:r>
        <w:rPr>
          <w:rFonts w:ascii="Calibri" w:hAnsi="Calibri"/>
          <w:b/>
          <w:color w:val="58585A"/>
          <w:sz w:val="28"/>
        </w:rPr>
        <w:t>Critical Engagement Notes</w:t>
      </w:r>
    </w:p>
    <w:p>
      <w:pPr>
        <w:pStyle w:val="ListBullet"/>
        <w:spacing w:before="20" w:after="60"/>
      </w:pPr>
      <w:r>
        <w:rPr>
          <w:rFonts w:ascii="Calibri" w:hAnsi="Calibri"/>
          <w:color w:val="333333"/>
          <w:sz w:val="21"/>
        </w:rPr>
        <w:t>This avatar RESISTS content creation and automation. Both are essential — but must be reframed and de-jargoned at every touchpoint.</w:t>
      </w:r>
    </w:p>
    <w:p>
      <w:pPr>
        <w:pStyle w:val="ListBullet"/>
        <w:spacing w:before="20" w:after="60"/>
      </w:pPr>
      <w:r>
        <w:rPr>
          <w:rFonts w:ascii="Calibri" w:hAnsi="Calibri"/>
          <w:color w:val="333333"/>
          <w:sz w:val="21"/>
        </w:rPr>
        <w:t>“Content” becomes “patient education assets.” “Automation” becomes “patient care systems.”</w:t>
      </w:r>
    </w:p>
    <w:p>
      <w:pPr>
        <w:pStyle w:val="ListBullet"/>
        <w:spacing w:before="20" w:after="60"/>
      </w:pPr>
      <w:r>
        <w:rPr>
          <w:rFonts w:ascii="Calibri" w:hAnsi="Calibri"/>
          <w:color w:val="333333"/>
          <w:sz w:val="21"/>
        </w:rPr>
        <w:t>The OD is the approver and expert — never the content machine. Position ASG as the team that translates their clinical expertise into the assets that attract quality patients.</w:t>
      </w:r>
    </w:p>
    <w:p>
      <w:pPr>
        <w:pStyle w:val="ListBullet"/>
        <w:spacing w:before="20" w:after="60"/>
      </w:pPr>
      <w:r>
        <w:rPr>
          <w:rFonts w:ascii="Calibri" w:hAnsi="Calibri"/>
          <w:color w:val="333333"/>
          <w:sz w:val="21"/>
        </w:rPr>
        <w:t>This avatar has been pitched by 4–6 consultants. Lead with outcomes, not activities. Never open with clicks, impressions, or new patient volume.</w:t>
      </w:r>
    </w:p>
    <w:p>
      <w:pPr>
        <w:spacing w:before="0" w:after="0"/>
      </w:pPr>
      <w:r>
        <w:br w:type="page"/>
      </w:r>
    </w:p>
    <w:p>
      <w:pPr>
        <w:spacing w:before="360" w:after="120"/>
        <w:pBdr>
          <w:bottom w:val="single" w:sz="8" w:space="1" w:color="25aae1"/>
        </w:pBdr>
      </w:pPr>
      <w:r>
        <w:rPr>
          <w:rFonts w:ascii="Calibri" w:hAnsi="Calibri"/>
          <w:b/>
          <w:color w:val="25AAE1"/>
          <w:sz w:val="40"/>
        </w:rPr>
        <w:t>PRIMARY AVATAR — “SELECTIVE SAM”</w:t>
      </w:r>
    </w:p>
    <w:p>
      <w:pPr>
        <w:shd w:fill="1a1a1a" w:color="auto" w:val="clear"/>
        <w:pBdr>
          <w:left w:val="single" w:sz="20" w:space="120" w:color="25aae1"/>
        </w:pBdr>
        <w:spacing w:before="120" w:after="120"/>
        <w:ind w:left="216"/>
      </w:pPr>
      <w:r>
        <w:rPr>
          <w:rFonts w:ascii="Calibri" w:hAnsi="Calibri"/>
          <w:color w:val="25AAE1"/>
          <w:sz w:val="21"/>
        </w:rPr>
        <w:t>He built a premium practice. His marketing keeps attracting the wrong patients.</w:t>
      </w:r>
    </w:p>
    <w:p>
      <w:pPr>
        <w:spacing w:after="80"/>
      </w:pPr>
    </w:p>
    <w:tbl>
      <w:tblPr>
        <w:tblStyle w:val="TableGrid"/>
        <w:tblW w:type="auto" w:w="0"/>
        <w:tblLook w:firstColumn="1" w:firstRow="1" w:lastColumn="0" w:lastRow="0" w:noHBand="0" w:noVBand="1" w:val="04A0"/>
      </w:tblPr>
      <w:tblGrid>
        <w:gridCol w:w="4320"/>
        <w:gridCol w:w="4320"/>
      </w:tblGrid>
      <w:tr>
        <w:tc>
          <w:tcPr>
            <w:tcW w:type="dxa" w:w="3000"/>
            <w:shd w:fill="EAF6FC" w:color="auto" w:val="clear"/>
          </w:tcPr>
          <w:p>
            <w:pPr>
              <w:spacing w:before="60" w:after="60"/>
            </w:pPr>
            <w:r>
              <w:rPr>
                <w:rFonts w:ascii="Calibri" w:hAnsi="Calibri"/>
                <w:b/>
                <w:color w:val="25AAE1"/>
                <w:sz w:val="20"/>
              </w:rPr>
              <w:t>Avatar Name</w:t>
            </w:r>
          </w:p>
        </w:tc>
        <w:tc>
          <w:tcPr>
            <w:tcW w:type="dxa" w:w="5500"/>
            <w:shd w:fill="EAF6FC" w:color="auto" w:val="clear"/>
          </w:tcPr>
          <w:p>
            <w:pPr>
              <w:spacing w:before="60" w:after="60"/>
            </w:pPr>
            <w:r>
              <w:rPr>
                <w:rFonts w:ascii="Calibri" w:hAnsi="Calibri"/>
                <w:color w:val="333333"/>
                <w:sz w:val="20"/>
              </w:rPr>
              <w:t>Selective Sam</w:t>
            </w:r>
          </w:p>
        </w:tc>
      </w:tr>
      <w:tr>
        <w:tc>
          <w:tcPr>
            <w:tcW w:type="dxa" w:w="3000"/>
            <w:shd w:fill="FFFFFF" w:color="auto" w:val="clear"/>
          </w:tcPr>
          <w:p>
            <w:pPr>
              <w:spacing w:before="60" w:after="60"/>
            </w:pPr>
            <w:r>
              <w:rPr>
                <w:rFonts w:ascii="Calibri" w:hAnsi="Calibri"/>
                <w:b/>
                <w:color w:val="25AAE1"/>
                <w:sz w:val="20"/>
              </w:rPr>
              <w:t>Niche</w:t>
            </w:r>
          </w:p>
        </w:tc>
        <w:tc>
          <w:tcPr>
            <w:tcW w:type="dxa" w:w="5500"/>
            <w:shd w:fill="FFFFFF" w:color="auto" w:val="clear"/>
          </w:tcPr>
          <w:p>
            <w:pPr>
              <w:spacing w:before="60" w:after="60"/>
            </w:pPr>
            <w:r>
              <w:rPr>
                <w:rFonts w:ascii="Calibri" w:hAnsi="Calibri"/>
                <w:color w:val="333333"/>
                <w:sz w:val="20"/>
              </w:rPr>
              <w:t>Independent Optometrist</w:t>
            </w:r>
          </w:p>
        </w:tc>
      </w:tr>
      <w:tr>
        <w:tc>
          <w:tcPr>
            <w:tcW w:type="dxa" w:w="3000"/>
            <w:shd w:fill="EAF6FC" w:color="auto" w:val="clear"/>
          </w:tcPr>
          <w:p>
            <w:pPr>
              <w:spacing w:before="60" w:after="60"/>
            </w:pPr>
            <w:r>
              <w:rPr>
                <w:rFonts w:ascii="Calibri" w:hAnsi="Calibri"/>
                <w:b/>
                <w:color w:val="25AAE1"/>
                <w:sz w:val="20"/>
              </w:rPr>
              <w:t>Age Range</w:t>
            </w:r>
          </w:p>
        </w:tc>
        <w:tc>
          <w:tcPr>
            <w:tcW w:type="dxa" w:w="5500"/>
            <w:shd w:fill="EAF6FC" w:color="auto" w:val="clear"/>
          </w:tcPr>
          <w:p>
            <w:pPr>
              <w:spacing w:before="60" w:after="60"/>
            </w:pPr>
            <w:r>
              <w:rPr>
                <w:rFonts w:ascii="Calibri" w:hAnsi="Calibri"/>
                <w:color w:val="333333"/>
                <w:sz w:val="20"/>
              </w:rPr>
              <w:t>35–54</w:t>
            </w:r>
          </w:p>
        </w:tc>
      </w:tr>
      <w:tr>
        <w:tc>
          <w:tcPr>
            <w:tcW w:type="dxa" w:w="3000"/>
            <w:shd w:fill="FFFFFF" w:color="auto" w:val="clear"/>
          </w:tcPr>
          <w:p>
            <w:pPr>
              <w:spacing w:before="60" w:after="60"/>
            </w:pPr>
            <w:r>
              <w:rPr>
                <w:rFonts w:ascii="Calibri" w:hAnsi="Calibri"/>
                <w:b/>
                <w:color w:val="25AAE1"/>
                <w:sz w:val="20"/>
              </w:rPr>
              <w:t>Gender Skew</w:t>
            </w:r>
          </w:p>
        </w:tc>
        <w:tc>
          <w:tcPr>
            <w:tcW w:type="dxa" w:w="5500"/>
            <w:shd w:fill="FFFFFF" w:color="auto" w:val="clear"/>
          </w:tcPr>
          <w:p>
            <w:pPr>
              <w:spacing w:before="60" w:after="60"/>
            </w:pPr>
            <w:r>
              <w:rPr>
                <w:rFonts w:ascii="Calibri" w:hAnsi="Calibri"/>
                <w:color w:val="333333"/>
                <w:sz w:val="20"/>
              </w:rPr>
              <w:t>Majority female in new ODs (≈67%) — use gender-neutral language throughout</w:t>
            </w:r>
          </w:p>
        </w:tc>
      </w:tr>
      <w:tr>
        <w:tc>
          <w:tcPr>
            <w:tcW w:type="dxa" w:w="3000"/>
            <w:shd w:fill="EAF6FC" w:color="auto" w:val="clear"/>
          </w:tcPr>
          <w:p>
            <w:pPr>
              <w:spacing w:before="60" w:after="60"/>
            </w:pPr>
            <w:r>
              <w:rPr>
                <w:rFonts w:ascii="Calibri" w:hAnsi="Calibri"/>
                <w:b/>
                <w:color w:val="25AAE1"/>
                <w:sz w:val="20"/>
              </w:rPr>
              <w:t>Gross Collections</w:t>
            </w:r>
          </w:p>
        </w:tc>
        <w:tc>
          <w:tcPr>
            <w:tcW w:type="dxa" w:w="5500"/>
            <w:shd w:fill="EAF6FC" w:color="auto" w:val="clear"/>
          </w:tcPr>
          <w:p>
            <w:pPr>
              <w:spacing w:before="60" w:after="60"/>
            </w:pPr>
            <w:r>
              <w:rPr>
                <w:rFonts w:ascii="Calibri" w:hAnsi="Calibri"/>
                <w:color w:val="333333"/>
                <w:sz w:val="20"/>
              </w:rPr>
              <w:t>$450,000–$1,200,000</w:t>
            </w:r>
          </w:p>
        </w:tc>
      </w:tr>
      <w:tr>
        <w:tc>
          <w:tcPr>
            <w:tcW w:type="dxa" w:w="3000"/>
            <w:shd w:fill="FFFFFF" w:color="auto" w:val="clear"/>
          </w:tcPr>
          <w:p>
            <w:pPr>
              <w:spacing w:before="60" w:after="60"/>
            </w:pPr>
            <w:r>
              <w:rPr>
                <w:rFonts w:ascii="Calibri" w:hAnsi="Calibri"/>
                <w:b/>
                <w:color w:val="25AAE1"/>
                <w:sz w:val="20"/>
              </w:rPr>
              <w:t>Net Take-Home</w:t>
            </w:r>
          </w:p>
        </w:tc>
        <w:tc>
          <w:tcPr>
            <w:tcW w:type="dxa" w:w="5500"/>
            <w:shd w:fill="FFFFFF" w:color="auto" w:val="clear"/>
          </w:tcPr>
          <w:p>
            <w:pPr>
              <w:spacing w:before="60" w:after="60"/>
            </w:pPr>
            <w:r>
              <w:rPr>
                <w:rFonts w:ascii="Calibri" w:hAnsi="Calibri"/>
                <w:color w:val="333333"/>
                <w:sz w:val="20"/>
              </w:rPr>
              <w:t>$130,000–$320,000</w:t>
            </w:r>
          </w:p>
        </w:tc>
      </w:tr>
      <w:tr>
        <w:tc>
          <w:tcPr>
            <w:tcW w:type="dxa" w:w="3000"/>
            <w:shd w:fill="EAF6FC" w:color="auto" w:val="clear"/>
          </w:tcPr>
          <w:p>
            <w:pPr>
              <w:spacing w:before="60" w:after="60"/>
            </w:pPr>
            <w:r>
              <w:rPr>
                <w:rFonts w:ascii="Calibri" w:hAnsi="Calibri"/>
                <w:b/>
                <w:color w:val="25AAE1"/>
                <w:sz w:val="20"/>
              </w:rPr>
              <w:t>Years in Practice</w:t>
            </w:r>
          </w:p>
        </w:tc>
        <w:tc>
          <w:tcPr>
            <w:tcW w:type="dxa" w:w="5500"/>
            <w:shd w:fill="EAF6FC" w:color="auto" w:val="clear"/>
          </w:tcPr>
          <w:p>
            <w:pPr>
              <w:spacing w:before="60" w:after="60"/>
            </w:pPr>
            <w:r>
              <w:rPr>
                <w:rFonts w:ascii="Calibri" w:hAnsi="Calibri"/>
                <w:color w:val="333333"/>
                <w:sz w:val="20"/>
              </w:rPr>
              <w:t>7–22 years</w:t>
            </w:r>
          </w:p>
        </w:tc>
      </w:tr>
      <w:tr>
        <w:tc>
          <w:tcPr>
            <w:tcW w:type="dxa" w:w="3000"/>
            <w:shd w:fill="FFFFFF" w:color="auto" w:val="clear"/>
          </w:tcPr>
          <w:p>
            <w:pPr>
              <w:spacing w:before="60" w:after="60"/>
            </w:pPr>
            <w:r>
              <w:rPr>
                <w:rFonts w:ascii="Calibri" w:hAnsi="Calibri"/>
                <w:b/>
                <w:color w:val="25AAE1"/>
                <w:sz w:val="20"/>
              </w:rPr>
              <w:t>Geography</w:t>
            </w:r>
          </w:p>
        </w:tc>
        <w:tc>
          <w:tcPr>
            <w:tcW w:type="dxa" w:w="5500"/>
            <w:shd w:fill="FFFFFF" w:color="auto" w:val="clear"/>
          </w:tcPr>
          <w:p>
            <w:pPr>
              <w:spacing w:before="60" w:after="60"/>
            </w:pPr>
            <w:r>
              <w:rPr>
                <w:rFonts w:ascii="Calibri" w:hAnsi="Calibri"/>
                <w:color w:val="333333"/>
                <w:sz w:val="20"/>
              </w:rPr>
              <w:t>Suburban markets and mid-sized cities with enough density, not yet chain-dominated</w:t>
            </w:r>
          </w:p>
        </w:tc>
      </w:tr>
    </w:tbl>
    <w:p>
      <w:pPr>
        <w:spacing w:after="120"/>
      </w:pPr>
    </w:p>
    <w:p>
      <w:pPr>
        <w:spacing w:before="240" w:after="80"/>
      </w:pPr>
      <w:r>
        <w:rPr>
          <w:rFonts w:ascii="Calibri" w:hAnsi="Calibri"/>
          <w:b/>
          <w:color w:val="58585A"/>
          <w:sz w:val="28"/>
        </w:rPr>
        <w:t>The Income Gap</w:t>
      </w:r>
    </w:p>
    <w:p>
      <w:pPr>
        <w:spacing w:before="0" w:after="120"/>
      </w:pPr>
      <w:r>
        <w:rPr>
          <w:rFonts w:ascii="Calibri" w:hAnsi="Calibri"/>
          <w:color w:val="333333"/>
          <w:sz w:val="21"/>
        </w:rPr>
        <w:t>Sam sees 14 patients today. He makes $7,200 gross. After overhead, he takes home about $2,200. The patient who bought glasses from Warby Parker with his prescription? That was $600 Sam didn’t collect — for a patient he already spent 40 minutes with.</w:t>
      </w:r>
    </w:p>
    <w:p>
      <w:pPr>
        <w:shd w:fill="EAF6FC" w:color="auto" w:val="clear"/>
        <w:pBdr>
          <w:left w:val="single" w:sz="20" w:space="120" w:color="25aae1"/>
        </w:pBdr>
        <w:spacing w:before="120" w:after="120"/>
        <w:ind w:left="216"/>
      </w:pPr>
      <w:r>
        <w:rPr>
          <w:rFonts w:ascii="Calibri" w:hAnsi="Calibri"/>
          <w:color w:val="58585A"/>
          <w:sz w:val="21"/>
        </w:rPr>
        <w:t>If just 3 more patients per day bought their optical in-office, Sam’s take-home would increase by approximately $80,000 annually. That math is always in the background.</w:t>
      </w:r>
    </w:p>
    <w:p>
      <w:pPr>
        <w:spacing w:before="240" w:after="80"/>
      </w:pPr>
      <w:r>
        <w:rPr>
          <w:rFonts w:ascii="Calibri" w:hAnsi="Calibri"/>
          <w:b/>
          <w:color w:val="58585A"/>
          <w:sz w:val="28"/>
        </w:rPr>
        <w:t>Daily Reality</w:t>
      </w:r>
    </w:p>
    <w:p>
      <w:pPr>
        <w:spacing w:before="0" w:after="120"/>
      </w:pPr>
      <w:r>
        <w:rPr>
          <w:rFonts w:ascii="Calibri" w:hAnsi="Calibri"/>
          <w:color w:val="333333"/>
          <w:sz w:val="21"/>
        </w:rPr>
        <w:t>Sam’s 9am patient arrives, gets a thorough exam, leaves with a handwritten prescription for progressive lenses. She smiles and says “thank you, I’ll think about the glasses.” He knows she’s going home to Zenni or Warby Parker. He also knows the premium Zeiss lenses he would have fitted her with would have been life-changing for her and $480 for his practice. He sees this 4–6 times a day. He’s stopped trying to figure out how to stop it.</w:t>
      </w:r>
    </w:p>
    <w:p>
      <w:pPr>
        <w:spacing w:before="240" w:after="80"/>
      </w:pPr>
      <w:r>
        <w:rPr>
          <w:rFonts w:ascii="Calibri" w:hAnsi="Calibri"/>
          <w:b/>
          <w:color w:val="58585A"/>
          <w:sz w:val="28"/>
        </w:rPr>
        <w:t>The Core Tension</w:t>
      </w:r>
    </w:p>
    <w:p>
      <w:pPr>
        <w:spacing w:before="0" w:after="80"/>
      </w:pPr>
      <w:r>
        <w:rPr>
          <w:rFonts w:ascii="Calibri" w:hAnsi="Calibri"/>
          <w:color w:val="333333"/>
          <w:sz w:val="21"/>
        </w:rPr>
        <w:t>Sam’s clinical skills are not in question. His patients trust him in the exam room. The problem is what happens before they arrive and after they leave.</w:t>
      </w:r>
    </w:p>
    <w:p>
      <w:pPr>
        <w:spacing w:before="0" w:after="80"/>
      </w:pPr>
      <w:r>
        <w:rPr>
          <w:rFonts w:ascii="Calibri" w:hAnsi="Calibri"/>
          <w:color w:val="333333"/>
          <w:sz w:val="21"/>
        </w:rPr>
        <w:t>Before: The patients who find him are often price-driven, insurance-first, and willing to go to whoever takes their plan. They don’t have a reason to seek him out specifically until they’re already sitting in his chair — and by then, the relationship is transactional.</w:t>
      </w:r>
    </w:p>
    <w:p>
      <w:pPr>
        <w:spacing w:before="0" w:after="120"/>
      </w:pPr>
      <w:r>
        <w:rPr>
          <w:rFonts w:ascii="Calibri" w:hAnsi="Calibri"/>
          <w:color w:val="333333"/>
          <w:sz w:val="21"/>
        </w:rPr>
        <w:t>After: Without a system to stay connected, the patient who had a great experience simply doesn’t think to refer, doesn’t come back until they “need new glasses,” and doesn’t know about the dry eye treatment or myopia management protocol that would genuinely improve their child’s life.</w:t>
      </w:r>
    </w:p>
    <w:p>
      <w:pPr>
        <w:shd w:fill="EAF6FC" w:color="auto" w:val="clear"/>
        <w:pBdr>
          <w:left w:val="single" w:sz="20" w:space="120" w:color="25aae1"/>
        </w:pBdr>
        <w:spacing w:before="120" w:after="120"/>
        <w:ind w:left="216"/>
      </w:pPr>
      <w:r>
        <w:rPr>
          <w:rFonts w:ascii="Calibri" w:hAnsi="Calibri"/>
          <w:color w:val="58585A"/>
          <w:sz w:val="21"/>
        </w:rPr>
        <w:t>The gap is not clinical. It’s the authority and relationship infrastructure that makes quality patients choose Sam, stay with Sam, and send everyone they know.</w:t>
      </w:r>
    </w:p>
    <w:p>
      <w:pPr>
        <w:spacing w:before="240" w:after="80"/>
      </w:pPr>
      <w:r>
        <w:rPr>
          <w:rFonts w:ascii="Calibri" w:hAnsi="Calibri"/>
          <w:b/>
          <w:color w:val="58585A"/>
          <w:sz w:val="28"/>
        </w:rPr>
        <w:t>What Keeps Sam Stuck</w:t>
      </w:r>
    </w:p>
    <w:p>
      <w:pPr>
        <w:pStyle w:val="ListBullet"/>
        <w:spacing w:before="20" w:after="60"/>
      </w:pPr>
      <w:r>
        <w:rPr>
          <w:rFonts w:ascii="Calibri" w:hAnsi="Calibri"/>
          <w:color w:val="333333"/>
          <w:sz w:val="21"/>
        </w:rPr>
        <w:t>Insurance contracts pull in price-motivated patients — but dropping plans feels like financial suicide</w:t>
      </w:r>
    </w:p>
    <w:p>
      <w:pPr>
        <w:pStyle w:val="ListBullet"/>
        <w:spacing w:before="20" w:after="60"/>
      </w:pPr>
      <w:r>
        <w:rPr>
          <w:rFonts w:ascii="Calibri" w:hAnsi="Calibri"/>
          <w:color w:val="333333"/>
          <w:sz w:val="21"/>
        </w:rPr>
        <w:t>Tried Google Ads and got calls from people asking “do you take [discount plan]?” Not what he wanted</w:t>
      </w:r>
    </w:p>
    <w:p>
      <w:pPr>
        <w:pStyle w:val="ListBullet"/>
        <w:spacing w:before="20" w:after="60"/>
      </w:pPr>
      <w:r>
        <w:rPr>
          <w:rFonts w:ascii="Calibri" w:hAnsi="Calibri"/>
          <w:color w:val="333333"/>
          <w:sz w:val="21"/>
        </w:rPr>
        <w:t>Tried a local SEO agency. Got on page one. For “eye exam near me.” Wrong patient.</w:t>
      </w:r>
    </w:p>
    <w:p>
      <w:pPr>
        <w:pStyle w:val="ListBullet"/>
        <w:spacing w:before="20" w:after="60"/>
      </w:pPr>
      <w:r>
        <w:rPr>
          <w:rFonts w:ascii="Calibri" w:hAnsi="Calibri"/>
          <w:color w:val="333333"/>
          <w:sz w:val="21"/>
        </w:rPr>
        <w:t>His current marketing attracts patients who compare him to Walmart Vision — a comparison he should never be in</w:t>
      </w:r>
    </w:p>
    <w:p>
      <w:pPr>
        <w:pStyle w:val="ListBullet"/>
        <w:spacing w:before="20" w:after="60"/>
      </w:pPr>
      <w:r>
        <w:rPr>
          <w:rFonts w:ascii="Calibri" w:hAnsi="Calibri"/>
          <w:color w:val="333333"/>
          <w:sz w:val="21"/>
        </w:rPr>
        <w:t>Spent 8 years earning his degree — he’s not making TikToks to explain it</w:t>
      </w:r>
    </w:p>
    <w:p>
      <w:pPr>
        <w:pStyle w:val="ListBullet"/>
        <w:spacing w:before="20" w:after="60"/>
      </w:pPr>
      <w:r>
        <w:rPr>
          <w:rFonts w:ascii="Calibri" w:hAnsi="Calibri"/>
          <w:color w:val="333333"/>
          <w:sz w:val="21"/>
        </w:rPr>
        <w:t>Knows he should be doing something about patient retention, but doesn’t have time to manually follow up</w:t>
      </w:r>
    </w:p>
    <w:p>
      <w:pPr>
        <w:pStyle w:val="ListBullet"/>
        <w:spacing w:before="20" w:after="60"/>
      </w:pPr>
      <w:r>
        <w:rPr>
          <w:rFonts w:ascii="Calibri" w:hAnsi="Calibri"/>
          <w:color w:val="333333"/>
          <w:sz w:val="21"/>
        </w:rPr>
        <w:t>Has been pitched by 4–6 consultants in the last 3 years — every pitch led with “more traffic” and “more clicks”</w:t>
      </w:r>
    </w:p>
    <w:p>
      <w:pPr>
        <w:pStyle w:val="ListBullet"/>
        <w:spacing w:before="20" w:after="60"/>
      </w:pPr>
      <w:r>
        <w:rPr>
          <w:rFonts w:ascii="Calibri" w:hAnsi="Calibri"/>
          <w:color w:val="333333"/>
          <w:sz w:val="21"/>
        </w:rPr>
        <w:t>Word of mouth is his best patient source — but he has no system to engineer it</w:t>
      </w:r>
    </w:p>
    <w:p>
      <w:pPr>
        <w:pStyle w:val="ListBullet"/>
        <w:spacing w:before="20" w:after="60"/>
      </w:pPr>
      <w:r>
        <w:rPr>
          <w:rFonts w:ascii="Calibri" w:hAnsi="Calibri"/>
          <w:color w:val="333333"/>
          <w:sz w:val="21"/>
        </w:rPr>
        <w:t>His website is functional but indistinguishable from every other optometry site in his market</w:t>
      </w:r>
    </w:p>
    <w:p>
      <w:pPr>
        <w:spacing w:before="0" w:after="0"/>
      </w:pPr>
      <w:r>
        <w:br w:type="page"/>
      </w:r>
    </w:p>
    <w:p>
      <w:pPr>
        <w:spacing w:before="360" w:after="120"/>
        <w:pBdr>
          <w:bottom w:val="single" w:sz="8" w:space="1" w:color="25aae1"/>
        </w:pBdr>
      </w:pPr>
      <w:r>
        <w:rPr>
          <w:rFonts w:ascii="Calibri" w:hAnsi="Calibri"/>
          <w:b/>
          <w:color w:val="25AAE1"/>
          <w:sz w:val="40"/>
        </w:rPr>
        <w:t>GOALS &amp; DESIRES</w:t>
      </w:r>
    </w:p>
    <w:p>
      <w:pPr>
        <w:spacing w:before="240" w:after="80"/>
      </w:pPr>
      <w:r>
        <w:rPr>
          <w:rFonts w:ascii="Calibri" w:hAnsi="Calibri"/>
          <w:b/>
          <w:color w:val="58585A"/>
          <w:sz w:val="28"/>
        </w:rPr>
        <w:t>Primary Goals</w:t>
      </w:r>
    </w:p>
    <w:p>
      <w:pPr>
        <w:pStyle w:val="ListBullet"/>
        <w:spacing w:before="20" w:after="60"/>
      </w:pPr>
      <w:r>
        <w:rPr>
          <w:rFonts w:ascii="Calibri" w:hAnsi="Calibri"/>
          <w:color w:val="333333"/>
          <w:sz w:val="21"/>
        </w:rPr>
        <w:t>Replace 4–6 price-shopping patients per day with 2–3 quality patients who buy optical in-office</w:t>
      </w:r>
    </w:p>
    <w:p>
      <w:pPr>
        <w:pStyle w:val="ListBullet"/>
        <w:spacing w:before="20" w:after="60"/>
      </w:pPr>
      <w:r>
        <w:rPr>
          <w:rFonts w:ascii="Calibri" w:hAnsi="Calibri"/>
          <w:color w:val="333333"/>
          <w:sz w:val="21"/>
        </w:rPr>
        <w:t>Grow premium optical conversion rate from 40–55% to 70–80% of exam patients</w:t>
      </w:r>
    </w:p>
    <w:p>
      <w:pPr>
        <w:pStyle w:val="ListBullet"/>
        <w:spacing w:before="20" w:after="60"/>
      </w:pPr>
      <w:r>
        <w:rPr>
          <w:rFonts w:ascii="Calibri" w:hAnsi="Calibri"/>
          <w:color w:val="333333"/>
          <w:sz w:val="21"/>
        </w:rPr>
        <w:t>Build a patient base that comes in pre-trusting him — not comparing him to LensCrafters</w:t>
      </w:r>
    </w:p>
    <w:p>
      <w:pPr>
        <w:pStyle w:val="ListBullet"/>
        <w:spacing w:before="20" w:after="60"/>
      </w:pPr>
      <w:r>
        <w:rPr>
          <w:rFonts w:ascii="Calibri" w:hAnsi="Calibri"/>
          <w:color w:val="333333"/>
          <w:sz w:val="21"/>
        </w:rPr>
        <w:t>Add 1–2 dry eye treatment cases per week without adding chair time</w:t>
      </w:r>
    </w:p>
    <w:p>
      <w:pPr>
        <w:pStyle w:val="ListBullet"/>
        <w:spacing w:before="20" w:after="60"/>
      </w:pPr>
      <w:r>
        <w:rPr>
          <w:rFonts w:ascii="Calibri" w:hAnsi="Calibri"/>
          <w:color w:val="333333"/>
          <w:sz w:val="21"/>
        </w:rPr>
        <w:t>Be the optometrist in his community that patients specifically request — not “whoever takes my insurance”</w:t>
      </w:r>
    </w:p>
    <w:p>
      <w:pPr>
        <w:pStyle w:val="ListBullet"/>
        <w:spacing w:before="20" w:after="60"/>
      </w:pPr>
      <w:r>
        <w:rPr>
          <w:rFonts w:ascii="Calibri" w:hAnsi="Calibri"/>
          <w:color w:val="333333"/>
          <w:sz w:val="21"/>
        </w:rPr>
        <w:t>Engineer referrals without having to personally follow up or feel like he’s begging</w:t>
      </w:r>
    </w:p>
    <w:p>
      <w:pPr>
        <w:spacing w:before="240" w:after="80"/>
      </w:pPr>
      <w:r>
        <w:rPr>
          <w:rFonts w:ascii="Calibri" w:hAnsi="Calibri"/>
          <w:b/>
          <w:color w:val="58585A"/>
          <w:sz w:val="28"/>
        </w:rPr>
        <w:t>Secondary Goals</w:t>
      </w:r>
    </w:p>
    <w:p>
      <w:pPr>
        <w:pStyle w:val="ListBullet"/>
        <w:spacing w:before="20" w:after="60"/>
      </w:pPr>
      <w:r>
        <w:rPr>
          <w:rFonts w:ascii="Calibri" w:hAnsi="Calibri"/>
          <w:color w:val="333333"/>
          <w:sz w:val="21"/>
        </w:rPr>
        <w:t>Develop enough authority to selectively drop the most punishing insurance plans</w:t>
      </w:r>
    </w:p>
    <w:p>
      <w:pPr>
        <w:pStyle w:val="ListBullet"/>
        <w:spacing w:before="20" w:after="60"/>
      </w:pPr>
      <w:r>
        <w:rPr>
          <w:rFonts w:ascii="Calibri" w:hAnsi="Calibri"/>
          <w:color w:val="333333"/>
          <w:sz w:val="21"/>
        </w:rPr>
        <w:t>Attract pediatric patients for myopia management — the highest-LTV patient type in optometry</w:t>
      </w:r>
    </w:p>
    <w:p>
      <w:pPr>
        <w:pStyle w:val="ListBullet"/>
        <w:spacing w:before="20" w:after="60"/>
      </w:pPr>
      <w:r>
        <w:rPr>
          <w:rFonts w:ascii="Calibri" w:hAnsi="Calibri"/>
          <w:color w:val="333333"/>
          <w:sz w:val="21"/>
        </w:rPr>
        <w:t>Build a practice with enough brand equity that it sells at a premium valuation</w:t>
      </w:r>
    </w:p>
    <w:p>
      <w:pPr>
        <w:pStyle w:val="ListBullet"/>
        <w:spacing w:before="20" w:after="60"/>
      </w:pPr>
      <w:r>
        <w:rPr>
          <w:rFonts w:ascii="Calibri" w:hAnsi="Calibri"/>
          <w:color w:val="333333"/>
          <w:sz w:val="21"/>
        </w:rPr>
        <w:t>Stop being squeezed by online optical retailers and insurance reimbursement schedules simultaneously</w:t>
      </w:r>
    </w:p>
    <w:p>
      <w:pPr>
        <w:pStyle w:val="ListBullet"/>
        <w:spacing w:before="20" w:after="60"/>
      </w:pPr>
      <w:r>
        <w:rPr>
          <w:rFonts w:ascii="Calibri" w:hAnsi="Calibri"/>
          <w:color w:val="333333"/>
          <w:sz w:val="21"/>
        </w:rPr>
        <w:t>Have staff who handle patient communication without it falling on him personally</w:t>
      </w:r>
    </w:p>
    <w:p>
      <w:pPr>
        <w:spacing w:before="240" w:after="80"/>
      </w:pPr>
      <w:r>
        <w:rPr>
          <w:rFonts w:ascii="Calibri" w:hAnsi="Calibri"/>
          <w:b/>
          <w:color w:val="58585A"/>
          <w:sz w:val="28"/>
        </w:rPr>
        <w:t>The Revenue Math</w:t>
      </w:r>
    </w:p>
    <w:p>
      <w:pPr>
        <w:spacing w:before="0" w:after="80"/>
      </w:pPr>
      <w:r>
        <w:rPr>
          <w:rFonts w:ascii="Calibri" w:hAnsi="Calibri"/>
          <w:color w:val="333333"/>
          <w:sz w:val="21"/>
        </w:rPr>
        <w:t>Sam doesn’t need more patients. He needs more value per patient. Right now, his practice captures 35–45 cents of every dollar his patients spend on vision care. The other 55–65 cents goes to Zenni, 1-800-Contacts, and Costco.</w:t>
      </w:r>
    </w:p>
    <w:tbl>
      <w:tblPr>
        <w:tblStyle w:val="TableGrid"/>
        <w:tblW w:type="auto" w:w="0"/>
        <w:tblLook w:firstColumn="1" w:firstRow="1" w:lastColumn="0" w:lastRow="0" w:noHBand="0" w:noVBand="1" w:val="04A0"/>
      </w:tblPr>
      <w:tblGrid>
        <w:gridCol w:w="4320"/>
        <w:gridCol w:w="4320"/>
      </w:tblGrid>
      <w:tr>
        <w:tc>
          <w:tcPr>
            <w:tcW w:type="dxa" w:w="3000"/>
            <w:shd w:fill="EAF6FC" w:color="auto" w:val="clear"/>
          </w:tcPr>
          <w:p>
            <w:pPr>
              <w:spacing w:before="60" w:after="60"/>
            </w:pPr>
            <w:r>
              <w:rPr>
                <w:rFonts w:ascii="Calibri" w:hAnsi="Calibri"/>
                <w:b/>
                <w:color w:val="25AAE1"/>
                <w:sz w:val="20"/>
              </w:rPr>
              <w:t>Current revenue/day</w:t>
            </w:r>
          </w:p>
        </w:tc>
        <w:tc>
          <w:tcPr>
            <w:tcW w:type="dxa" w:w="5500"/>
            <w:shd w:fill="EAF6FC" w:color="auto" w:val="clear"/>
          </w:tcPr>
          <w:p>
            <w:pPr>
              <w:spacing w:before="60" w:after="60"/>
            </w:pPr>
            <w:r>
              <w:rPr>
                <w:rFonts w:ascii="Calibri" w:hAnsi="Calibri"/>
                <w:color w:val="333333"/>
                <w:sz w:val="20"/>
              </w:rPr>
              <w:t>$5,500–$7,500 gross</w:t>
            </w:r>
          </w:p>
        </w:tc>
      </w:tr>
      <w:tr>
        <w:tc>
          <w:tcPr>
            <w:tcW w:type="dxa" w:w="3000"/>
            <w:shd w:fill="FFFFFF" w:color="auto" w:val="clear"/>
          </w:tcPr>
          <w:p>
            <w:pPr>
              <w:spacing w:before="60" w:after="60"/>
            </w:pPr>
            <w:r>
              <w:rPr>
                <w:rFonts w:ascii="Calibri" w:hAnsi="Calibri"/>
                <w:b/>
                <w:color w:val="25AAE1"/>
                <w:sz w:val="20"/>
              </w:rPr>
              <w:t>Target revenue/day</w:t>
            </w:r>
          </w:p>
        </w:tc>
        <w:tc>
          <w:tcPr>
            <w:tcW w:type="dxa" w:w="5500"/>
            <w:shd w:fill="FFFFFF" w:color="auto" w:val="clear"/>
          </w:tcPr>
          <w:p>
            <w:pPr>
              <w:spacing w:before="60" w:after="60"/>
            </w:pPr>
            <w:r>
              <w:rPr>
                <w:rFonts w:ascii="Calibri" w:hAnsi="Calibri"/>
                <w:color w:val="333333"/>
                <w:sz w:val="20"/>
              </w:rPr>
              <w:t>$8,500–$12,000 gross (fewer exams, higher per-patient value)</w:t>
            </w:r>
          </w:p>
        </w:tc>
      </w:tr>
      <w:tr>
        <w:tc>
          <w:tcPr>
            <w:tcW w:type="dxa" w:w="3000"/>
            <w:shd w:fill="EAF6FC" w:color="auto" w:val="clear"/>
          </w:tcPr>
          <w:p>
            <w:pPr>
              <w:spacing w:before="60" w:after="60"/>
            </w:pPr>
            <w:r>
              <w:rPr>
                <w:rFonts w:ascii="Calibri" w:hAnsi="Calibri"/>
                <w:b/>
                <w:color w:val="25AAE1"/>
                <w:sz w:val="20"/>
              </w:rPr>
              <w:t>Key lever 1</w:t>
            </w:r>
          </w:p>
        </w:tc>
        <w:tc>
          <w:tcPr>
            <w:tcW w:type="dxa" w:w="5500"/>
            <w:shd w:fill="EAF6FC" w:color="auto" w:val="clear"/>
          </w:tcPr>
          <w:p>
            <w:pPr>
              <w:spacing w:before="60" w:after="60"/>
            </w:pPr>
            <w:r>
              <w:rPr>
                <w:rFonts w:ascii="Calibri" w:hAnsi="Calibri"/>
                <w:color w:val="333333"/>
                <w:sz w:val="20"/>
              </w:rPr>
              <w:t>+3 premium optical sales/day = +$800–$1,400/day</w:t>
            </w:r>
          </w:p>
        </w:tc>
      </w:tr>
      <w:tr>
        <w:tc>
          <w:tcPr>
            <w:tcW w:type="dxa" w:w="3000"/>
            <w:shd w:fill="FFFFFF" w:color="auto" w:val="clear"/>
          </w:tcPr>
          <w:p>
            <w:pPr>
              <w:spacing w:before="60" w:after="60"/>
            </w:pPr>
            <w:r>
              <w:rPr>
                <w:rFonts w:ascii="Calibri" w:hAnsi="Calibri"/>
                <w:b/>
                <w:color w:val="25AAE1"/>
                <w:sz w:val="20"/>
              </w:rPr>
              <w:t>Key lever 2</w:t>
            </w:r>
          </w:p>
        </w:tc>
        <w:tc>
          <w:tcPr>
            <w:tcW w:type="dxa" w:w="5500"/>
            <w:shd w:fill="FFFFFF" w:color="auto" w:val="clear"/>
          </w:tcPr>
          <w:p>
            <w:pPr>
              <w:spacing w:before="60" w:after="60"/>
            </w:pPr>
            <w:r>
              <w:rPr>
                <w:rFonts w:ascii="Calibri" w:hAnsi="Calibri"/>
                <w:color w:val="333333"/>
                <w:sz w:val="20"/>
              </w:rPr>
              <w:t>+2 dry eye cases/week @ $1,500 avg = +$156,000/year</w:t>
            </w:r>
          </w:p>
        </w:tc>
      </w:tr>
      <w:tr>
        <w:tc>
          <w:tcPr>
            <w:tcW w:type="dxa" w:w="3000"/>
            <w:shd w:fill="EAF6FC" w:color="auto" w:val="clear"/>
          </w:tcPr>
          <w:p>
            <w:pPr>
              <w:spacing w:before="60" w:after="60"/>
            </w:pPr>
            <w:r>
              <w:rPr>
                <w:rFonts w:ascii="Calibri" w:hAnsi="Calibri"/>
                <w:b/>
                <w:color w:val="25AAE1"/>
                <w:sz w:val="20"/>
              </w:rPr>
              <w:t>Key lever 3</w:t>
            </w:r>
          </w:p>
        </w:tc>
        <w:tc>
          <w:tcPr>
            <w:tcW w:type="dxa" w:w="5500"/>
            <w:shd w:fill="EAF6FC" w:color="auto" w:val="clear"/>
          </w:tcPr>
          <w:p>
            <w:pPr>
              <w:spacing w:before="60" w:after="60"/>
            </w:pPr>
            <w:r>
              <w:rPr>
                <w:rFonts w:ascii="Calibri" w:hAnsi="Calibri"/>
                <w:color w:val="333333"/>
                <w:sz w:val="20"/>
              </w:rPr>
              <w:t>5 myopia management enrollments = +$7,500–$15,000 recurring/year</w:t>
            </w:r>
          </w:p>
        </w:tc>
      </w:tr>
    </w:tbl>
    <w:p>
      <w:pPr>
        <w:spacing w:after="120"/>
      </w:pPr>
    </w:p>
    <w:p>
      <w:pPr>
        <w:spacing w:before="0" w:after="0"/>
      </w:pPr>
      <w:r>
        <w:br w:type="page"/>
      </w:r>
    </w:p>
    <w:p>
      <w:pPr>
        <w:spacing w:before="360" w:after="120"/>
        <w:pBdr>
          <w:bottom w:val="single" w:sz="8" w:space="1" w:color="25aae1"/>
        </w:pBdr>
      </w:pPr>
      <w:r>
        <w:rPr>
          <w:rFonts w:ascii="Calibri" w:hAnsi="Calibri"/>
          <w:b/>
          <w:color w:val="25AAE1"/>
          <w:sz w:val="40"/>
        </w:rPr>
        <w:t>BELIEF-TO-BUY FRAMEWORK™</w:t>
      </w:r>
    </w:p>
    <w:p>
      <w:pPr>
        <w:spacing w:before="0" w:after="200"/>
      </w:pPr>
      <w:r>
        <w:rPr>
          <w:rFonts w:ascii="Calibri" w:hAnsi="Calibri"/>
          <w:color w:val="333333"/>
          <w:sz w:val="21"/>
        </w:rPr>
        <w:t>Both tracks must be moved simultaneously. Shifting only the Belief Track or only the Emotion Track stalls the prospect. Every content piece, conversation, and touchpoint maps to a specific stage pair.</w:t>
      </w:r>
    </w:p>
    <w:p>
      <w:pPr>
        <w:spacing w:before="240" w:after="80"/>
      </w:pPr>
      <w:r>
        <w:rPr>
          <w:rFonts w:ascii="Calibri" w:hAnsi="Calibri"/>
          <w:b/>
          <w:color w:val="58585A"/>
          <w:sz w:val="28"/>
        </w:rPr>
        <w:t>BELIEF TRACK — What Sam Thinks Is True (and Must Shift)</w:t>
      </w:r>
    </w:p>
    <w:p>
      <w:pPr>
        <w:spacing w:before="200" w:after="40"/>
        <w:shd w:fill="25aae1" w:color="auto" w:val="clear"/>
      </w:pPr>
      <w:r>
        <w:rPr>
          <w:rFonts w:ascii="Calibri" w:hAnsi="Calibri"/>
          <w:b/>
          <w:color w:val="FFFFFF"/>
          <w:sz w:val="16"/>
        </w:rPr>
        <w:t xml:space="preserve">  Enemy Belief 1  </w:t>
      </w:r>
    </w:p>
    <w:p>
      <w:pPr>
        <w:spacing w:before="40" w:after="60"/>
      </w:pPr>
      <w:r>
        <w:rPr>
          <w:rFonts w:ascii="Calibri" w:hAnsi="Calibri"/>
          <w:b/>
          <w:i/>
          <w:color w:val="58585A"/>
          <w:sz w:val="22"/>
        </w:rPr>
        <w:t>“Marketing just attracts price shoppers. I’ve tried it and it brings in the wrong patients.”</w:t>
      </w:r>
    </w:p>
    <w:p>
      <w:pPr>
        <w:spacing w:before="0" w:after="80"/>
      </w:pPr>
      <w:r>
        <w:rPr>
          <w:rFonts w:ascii="Calibri" w:hAnsi="Calibri"/>
          <w:b/>
          <w:color w:val="58585A"/>
          <w:sz w:val="20"/>
        </w:rPr>
        <w:t xml:space="preserve">Why it stalls:  </w:t>
      </w:r>
      <w:r>
        <w:rPr>
          <w:rFonts w:ascii="Calibri" w:hAnsi="Calibri"/>
          <w:color w:val="333333"/>
          <w:sz w:val="20"/>
        </w:rPr>
        <w:t>Sam has conflated volume marketing — designed to fill chairs with any patient — with authority positioning, which pre-selects for quality patients. Every agency he hired ran the former and called it the latter. His conclusion is reasonable. It’s aimed at the wrong category of marketing.</w:t>
      </w:r>
    </w:p>
    <w:p>
      <w:pPr>
        <w:shd w:fill="EAF6FC" w:color="auto" w:val="clear"/>
        <w:pBdr>
          <w:left w:val="single" w:sz="20" w:space="120" w:color="25aae1"/>
        </w:pBdr>
        <w:spacing w:before="120" w:after="120"/>
        <w:ind w:left="216"/>
      </w:pPr>
      <w:r>
        <w:rPr>
          <w:rFonts w:ascii="Calibri" w:hAnsi="Calibri"/>
          <w:color w:val="58585A"/>
          <w:sz w:val="21"/>
        </w:rPr>
        <w:t>Reframe: Draw the line between volume marketing (clicks, impressions, new patient volume) and authority positioning (pre-sold patients who already trust you before they call). The type of patient you attract is determined by what you say, not how loud you say it. Sam isn’t attracting price shoppers because he’s marketing. He’s attracting them because his positioning looks identical to a practice that competes on price.</w:t>
      </w:r>
    </w:p>
    <w:p>
      <w:pPr>
        <w:spacing w:before="200" w:after="40"/>
        <w:shd w:fill="25aae1" w:color="auto" w:val="clear"/>
      </w:pPr>
      <w:r>
        <w:rPr>
          <w:rFonts w:ascii="Calibri" w:hAnsi="Calibri"/>
          <w:b/>
          <w:color w:val="FFFFFF"/>
          <w:sz w:val="16"/>
        </w:rPr>
        <w:t xml:space="preserve">  Enemy Belief 2  </w:t>
      </w:r>
    </w:p>
    <w:p>
      <w:pPr>
        <w:spacing w:before="40" w:after="60"/>
      </w:pPr>
      <w:r>
        <w:rPr>
          <w:rFonts w:ascii="Calibri" w:hAnsi="Calibri"/>
          <w:b/>
          <w:i/>
          <w:color w:val="58585A"/>
          <w:sz w:val="22"/>
        </w:rPr>
        <w:t>“Good patients come from referrals. I can’t really control that.”</w:t>
      </w:r>
    </w:p>
    <w:p>
      <w:pPr>
        <w:spacing w:before="0" w:after="80"/>
      </w:pPr>
      <w:r>
        <w:rPr>
          <w:rFonts w:ascii="Calibri" w:hAnsi="Calibri"/>
          <w:b/>
          <w:color w:val="58585A"/>
          <w:sz w:val="20"/>
        </w:rPr>
        <w:t xml:space="preserve">Why it stalls:  </w:t>
      </w:r>
      <w:r>
        <w:rPr>
          <w:rFonts w:ascii="Calibri" w:hAnsi="Calibri"/>
          <w:color w:val="333333"/>
          <w:sz w:val="20"/>
        </w:rPr>
        <w:t>Sam has correctly identified the channel and incorrectly concluded it’s unengineerable. He treats word-of-mouth as a weather event: it happens when it happens. The result is feast-or-famine quality patient flow with no system to accelerate or sustain it.</w:t>
      </w:r>
    </w:p>
    <w:p>
      <w:pPr>
        <w:shd w:fill="EAF6FC" w:color="auto" w:val="clear"/>
        <w:pBdr>
          <w:left w:val="single" w:sz="20" w:space="120" w:color="25aae1"/>
        </w:pBdr>
        <w:spacing w:before="120" w:after="120"/>
        <w:ind w:left="216"/>
      </w:pPr>
      <w:r>
        <w:rPr>
          <w:rFonts w:ascii="Calibri" w:hAnsi="Calibri"/>
          <w:color w:val="58585A"/>
          <w:sz w:val="21"/>
        </w:rPr>
        <w:t>Reframe: Referrals are engineerable. They happen more often when patients have a specific reason to refer — a memorable outcome, a clear story of what makes this practice different. Authority positioning gives existing patients the language and the prompt to refer. It doesn’t ask them to be salespeople. It gives them a story worth telling.</w:t>
      </w:r>
    </w:p>
    <w:p>
      <w:pPr>
        <w:spacing w:before="200" w:after="40"/>
        <w:shd w:fill="25aae1" w:color="auto" w:val="clear"/>
      </w:pPr>
      <w:r>
        <w:rPr>
          <w:rFonts w:ascii="Calibri" w:hAnsi="Calibri"/>
          <w:b/>
          <w:color w:val="FFFFFF"/>
          <w:sz w:val="16"/>
        </w:rPr>
        <w:t xml:space="preserve">  Enemy Belief 3  </w:t>
      </w:r>
    </w:p>
    <w:p>
      <w:pPr>
        <w:spacing w:before="40" w:after="60"/>
      </w:pPr>
      <w:r>
        <w:rPr>
          <w:rFonts w:ascii="Calibri" w:hAnsi="Calibri"/>
          <w:b/>
          <w:i/>
          <w:color w:val="58585A"/>
          <w:sz w:val="22"/>
        </w:rPr>
        <w:t>“I can’t drop insurance plans — I’d lose too many patients.”</w:t>
      </w:r>
    </w:p>
    <w:p>
      <w:pPr>
        <w:spacing w:before="0" w:after="80"/>
      </w:pPr>
      <w:r>
        <w:rPr>
          <w:rFonts w:ascii="Calibri" w:hAnsi="Calibri"/>
          <w:b/>
          <w:color w:val="58585A"/>
          <w:sz w:val="20"/>
        </w:rPr>
        <w:t xml:space="preserve">Why it stalls:  </w:t>
      </w:r>
      <w:r>
        <w:rPr>
          <w:rFonts w:ascii="Calibri" w:hAnsi="Calibri"/>
          <w:color w:val="333333"/>
          <w:sz w:val="20"/>
        </w:rPr>
        <w:t>Insurance dependency is the cage. As long as Sam believes his revenue floor requires insurance volume, he will keep attracting the patient profile that insurance delivers: price-first, plan-first, loyalty-last. This belief is partially accurate short-term and completely limiting long-term.</w:t>
      </w:r>
    </w:p>
    <w:p>
      <w:pPr>
        <w:shd w:fill="EAF6FC" w:color="auto" w:val="clear"/>
        <w:pBdr>
          <w:left w:val="single" w:sz="20" w:space="120" w:color="25aae1"/>
        </w:pBdr>
        <w:spacing w:before="120" w:after="120"/>
        <w:ind w:left="216"/>
      </w:pPr>
      <w:r>
        <w:rPr>
          <w:rFonts w:ascii="Calibri" w:hAnsi="Calibri"/>
          <w:color w:val="58585A"/>
          <w:sz w:val="21"/>
        </w:rPr>
        <w:t>Reframe: Authority positioning is the bridge out of insurance dependency — not a cliff. When enough patients choose Sam specifically (not because he’s on their plan, but because he’s the trusted authority), he can selectively exit the worst-paying plans without revenue impact. The sequence matters: position first, exit second. No one successfully drops insurance without first building a reason patients will pay.</w:t>
      </w:r>
    </w:p>
    <w:p>
      <w:pPr>
        <w:spacing w:before="200" w:after="40"/>
        <w:shd w:fill="25aae1" w:color="auto" w:val="clear"/>
      </w:pPr>
      <w:r>
        <w:rPr>
          <w:rFonts w:ascii="Calibri" w:hAnsi="Calibri"/>
          <w:b/>
          <w:color w:val="FFFFFF"/>
          <w:sz w:val="16"/>
        </w:rPr>
        <w:t xml:space="preserve">  Enemy Belief 4  </w:t>
      </w:r>
    </w:p>
    <w:p>
      <w:pPr>
        <w:spacing w:before="40" w:after="60"/>
      </w:pPr>
      <w:r>
        <w:rPr>
          <w:rFonts w:ascii="Calibri" w:hAnsi="Calibri"/>
          <w:b/>
          <w:i/>
          <w:color w:val="58585A"/>
          <w:sz w:val="22"/>
        </w:rPr>
        <w:t>“I’m not going to record videos or post on social media every day. That’s not who I am.”</w:t>
      </w:r>
    </w:p>
    <w:p>
      <w:pPr>
        <w:spacing w:before="0" w:after="80"/>
      </w:pPr>
      <w:r>
        <w:rPr>
          <w:rFonts w:ascii="Calibri" w:hAnsi="Calibri"/>
          <w:b/>
          <w:color w:val="58585A"/>
          <w:sz w:val="20"/>
        </w:rPr>
        <w:t xml:space="preserve">Why it stalls:  </w:t>
      </w:r>
      <w:r>
        <w:rPr>
          <w:rFonts w:ascii="Calibri" w:hAnsi="Calibri"/>
          <w:color w:val="333333"/>
          <w:sz w:val="20"/>
        </w:rPr>
        <w:t>This is the most common authority-building objection in the OD niche — and the most valid. Sam is a clinician, not a content creator. If authority building requires him to become a TikTok personality, it will never happen. He doesn’t have the time, the inclination, or the identity for it. Forcing a content-creation model on this avatar kills the engagement before it starts.</w:t>
      </w:r>
    </w:p>
    <w:p>
      <w:pPr>
        <w:shd w:fill="EAF6FC" w:color="auto" w:val="clear"/>
        <w:pBdr>
          <w:left w:val="single" w:sz="20" w:space="120" w:color="25aae1"/>
        </w:pBdr>
        <w:spacing w:before="120" w:after="120"/>
        <w:ind w:left="216"/>
      </w:pPr>
      <w:r>
        <w:rPr>
          <w:rFonts w:ascii="Calibri" w:hAnsi="Calibri"/>
          <w:color w:val="58585A"/>
          <w:sz w:val="21"/>
        </w:rPr>
        <w:t>Reframe: Authority is not the same as visibility. You don’t need to be on social media every day. You need your expertise to be legible in the moments when quality patients are researching and deciding. Your clinical knowledge becomes patient education assets — written, formatted, and published by ASG’s content team, reviewed and approved by you. You are the expert whose name is on the content. You are not the content machine.</w:t>
      </w:r>
    </w:p>
    <w:p>
      <w:pPr>
        <w:shd w:fill="FFF8E1" w:color="auto" w:val="clear"/>
        <w:pBdr>
          <w:left w:val="single" w:sz="16" w:space="100" w:color="D4A844"/>
        </w:pBdr>
        <w:spacing w:before="40" w:after="120"/>
        <w:ind w:left="173"/>
      </w:pPr>
      <w:r>
        <w:rPr>
          <w:rFonts w:ascii="Calibri" w:hAnsi="Calibri"/>
          <w:b/>
          <w:color w:val="B88600"/>
          <w:sz w:val="20"/>
        </w:rPr>
        <w:t xml:space="preserve">ASG Handling Note:  </w:t>
      </w:r>
      <w:r>
        <w:rPr>
          <w:rFonts w:ascii="Calibri" w:hAnsi="Calibri"/>
          <w:color w:val="5C4500"/>
          <w:sz w:val="20"/>
        </w:rPr>
        <w:t>NEVER pitch this avatar with “content calendar,” “social media management,” or “posting strategy.” Frame all content as clinical authority assets and patient education. Lead with outcomes (patients who arrive pre-trusting, pre-qualified) not activities (posts per week, video frequency). Sam doesn’t care about the output — he cares about which patients walk through the door.</w:t>
      </w:r>
    </w:p>
    <w:p>
      <w:pPr>
        <w:spacing w:before="200" w:after="40"/>
        <w:shd w:fill="25aae1" w:color="auto" w:val="clear"/>
      </w:pPr>
      <w:r>
        <w:rPr>
          <w:rFonts w:ascii="Calibri" w:hAnsi="Calibri"/>
          <w:b/>
          <w:color w:val="FFFFFF"/>
          <w:sz w:val="16"/>
        </w:rPr>
        <w:t xml:space="preserve">  Enemy Belief 5  </w:t>
      </w:r>
    </w:p>
    <w:p>
      <w:pPr>
        <w:spacing w:before="40" w:after="60"/>
      </w:pPr>
      <w:r>
        <w:rPr>
          <w:rFonts w:ascii="Calibri" w:hAnsi="Calibri"/>
          <w:b/>
          <w:i/>
          <w:color w:val="58585A"/>
          <w:sz w:val="22"/>
        </w:rPr>
        <w:t>“Automation is impersonal. My patients know me. I don’t want to feel like a robot sending them emails.”</w:t>
      </w:r>
    </w:p>
    <w:p>
      <w:pPr>
        <w:spacing w:before="0" w:after="80"/>
      </w:pPr>
      <w:r>
        <w:rPr>
          <w:rFonts w:ascii="Calibri" w:hAnsi="Calibri"/>
          <w:b/>
          <w:color w:val="58585A"/>
          <w:sz w:val="20"/>
        </w:rPr>
        <w:t xml:space="preserve">Why it stalls:  </w:t>
      </w:r>
      <w:r>
        <w:rPr>
          <w:rFonts w:ascii="Calibri" w:hAnsi="Calibri"/>
          <w:color w:val="333333"/>
          <w:sz w:val="20"/>
        </w:rPr>
        <w:t>Sam’s concern is legitimate. Bad patient automation is impersonal, generic, and erodes the trust he has built. He has probably received bad examples of it — generic appointment reminders, mass-blast emails, “Dear Patient” letters. His instinct to protect patient relationships from that kind of damage is exactly right.</w:t>
      </w:r>
    </w:p>
    <w:p>
      <w:pPr>
        <w:shd w:fill="EAF6FC" w:color="auto" w:val="clear"/>
        <w:pBdr>
          <w:left w:val="single" w:sz="20" w:space="120" w:color="25aae1"/>
        </w:pBdr>
        <w:spacing w:before="120" w:after="120"/>
        <w:ind w:left="216"/>
      </w:pPr>
      <w:r>
        <w:rPr>
          <w:rFonts w:ascii="Calibri" w:hAnsi="Calibri"/>
          <w:color w:val="58585A"/>
          <w:sz w:val="21"/>
        </w:rPr>
        <w:t>Reframe: The alternative to systematized patient care is not personal care — it’s no care. Patients who don’t hear from Sam’s practice after their exam simply drift. They go to LensCrafters next year because it was convenient. A well-built patient care system — one that sounds like it came from Sam’s practice, uses the patient’s name, references their actual visit, and is timed to moments that matter — is not a robot. It is the thoughtful practice Sam runs, extended beyond his chair time.</w:t>
      </w:r>
    </w:p>
    <w:p>
      <w:pPr>
        <w:shd w:fill="FFF8E1" w:color="auto" w:val="clear"/>
        <w:pBdr>
          <w:left w:val="single" w:sz="16" w:space="100" w:color="D4A844"/>
        </w:pBdr>
        <w:spacing w:before="40" w:after="120"/>
        <w:ind w:left="173"/>
      </w:pPr>
      <w:r>
        <w:rPr>
          <w:rFonts w:ascii="Calibri" w:hAnsi="Calibri"/>
          <w:b/>
          <w:color w:val="B88600"/>
          <w:sz w:val="20"/>
        </w:rPr>
        <w:t xml:space="preserve">ASG Handling Note:  </w:t>
      </w:r>
      <w:r>
        <w:rPr>
          <w:rFonts w:ascii="Calibri" w:hAnsi="Calibri"/>
          <w:color w:val="5C4500"/>
          <w:sz w:val="20"/>
        </w:rPr>
        <w:t>Never use the word “automation” with this avatar. Use “patient care systems,” “relationship infrastructure,” or “your practice staying in touch — without it falling on you personally.” Lead with the patient experience, not the mechanism.</w:t>
      </w:r>
    </w:p>
    <w:p>
      <w:pPr>
        <w:spacing w:after="160"/>
      </w:pPr>
    </w:p>
    <w:p>
      <w:pPr>
        <w:shd w:fill="EAF6FC" w:color="auto" w:val="clear"/>
        <w:pBdr>
          <w:left w:val="single" w:sz="20" w:space="120" w:color="25aae1"/>
        </w:pBdr>
        <w:spacing w:before="120" w:after="120"/>
        <w:ind w:left="216"/>
      </w:pPr>
      <w:r>
        <w:rPr>
          <w:rFonts w:ascii="Calibri" w:hAnsi="Calibri"/>
          <w:color w:val="58585A"/>
          <w:sz w:val="21"/>
        </w:rPr>
        <w:t>New Worldview Target: “I don’t need more patients. I need the right patients — the ones who value clinical expertise, trust my optical recommendations, refer their family, and come back every year. Those patients exist in my market. I need them to find me first, not stumble across me while comparing prices. That’s a positioning problem. And positioning is solvable.”</w:t>
      </w:r>
    </w:p>
    <w:p>
      <w:pPr>
        <w:spacing w:before="0" w:after="0"/>
      </w:pPr>
      <w:r>
        <w:br w:type="page"/>
      </w:r>
    </w:p>
    <w:p>
      <w:pPr>
        <w:spacing w:before="240" w:after="80"/>
      </w:pPr>
      <w:r>
        <w:rPr>
          <w:rFonts w:ascii="Calibri" w:hAnsi="Calibri"/>
          <w:b/>
          <w:color w:val="58585A"/>
          <w:sz w:val="28"/>
        </w:rPr>
        <w:t>EMOTION TRACK — What Sam Feels Is True (and Must Shift)</w:t>
      </w:r>
    </w:p>
    <w:p>
      <w:pPr>
        <w:shd w:fill="25aae1" w:color="auto" w:val="clear"/>
        <w:spacing w:before="200" w:after="60"/>
      </w:pPr>
      <w:r>
        <w:rPr>
          <w:rFonts w:ascii="Calibri" w:hAnsi="Calibri"/>
          <w:b/>
          <w:color w:val="FFFFFF"/>
          <w:sz w:val="18"/>
        </w:rPr>
        <w:t xml:space="preserve">  DISSATISFACTION  </w:t>
      </w:r>
    </w:p>
    <w:p>
      <w:pPr>
        <w:spacing w:before="0" w:after="80"/>
      </w:pPr>
      <w:r>
        <w:rPr>
          <w:rFonts w:ascii="Calibri" w:hAnsi="Calibri"/>
          <w:color w:val="333333"/>
          <w:sz w:val="21"/>
        </w:rPr>
        <w:t>Sam’s 2pm slot just canceled. Again. He knows her — she came in last year, liked him, but chose Costco this year because it was “more convenient.” He didn’t have a reason in her mind to come back to him specifically. His schedule has 4 empty slots this week. His overhead doesn’t. He’s quietly frustrated. Not panicked — his practice is fine. But fine isn’t the goal. He suspects the patients who would value what he does are out there. They’re just walking past his practice on the way to somewhere else.</w:t>
      </w:r>
    </w:p>
    <w:p>
      <w:pPr>
        <w:shd w:fill="58585a" w:color="auto" w:val="clear"/>
        <w:spacing w:before="200" w:after="60"/>
      </w:pPr>
      <w:r>
        <w:rPr>
          <w:rFonts w:ascii="Calibri" w:hAnsi="Calibri"/>
          <w:b/>
          <w:color w:val="FFFFFF"/>
          <w:sz w:val="18"/>
        </w:rPr>
        <w:t xml:space="preserve">  CONTRAST  </w:t>
      </w:r>
    </w:p>
    <w:p>
      <w:pPr>
        <w:spacing w:before="0" w:after="80"/>
      </w:pPr>
      <w:r>
        <w:rPr>
          <w:rFonts w:ascii="Calibri" w:hAnsi="Calibri"/>
          <w:color w:val="333333"/>
          <w:sz w:val="21"/>
        </w:rPr>
        <w:t>A patient comes in and says: “My colleague told me you’re the person to see for dry eye. She said you actually fixed it — not just sold her drops.” The patient books three sessions. Spends $1,800. Sends her husband the next month. Sam walks out thinking: “That’s what I want more of. That patient came in pre-sold. I didn’t have to explain myself at all.” He’s felt this before. He can’t figure out how to engineer it.</w:t>
      </w:r>
    </w:p>
    <w:p>
      <w:pPr>
        <w:shd w:fill="25aae1" w:color="auto" w:val="clear"/>
        <w:spacing w:before="200" w:after="60"/>
      </w:pPr>
      <w:r>
        <w:rPr>
          <w:rFonts w:ascii="Calibri" w:hAnsi="Calibri"/>
          <w:b/>
          <w:color w:val="FFFFFF"/>
          <w:sz w:val="18"/>
        </w:rPr>
        <w:t xml:space="preserve">  DESIRE  </w:t>
      </w:r>
    </w:p>
    <w:p>
      <w:pPr>
        <w:spacing w:before="0" w:after="80"/>
      </w:pPr>
      <w:r>
        <w:rPr>
          <w:rFonts w:ascii="Calibri" w:hAnsi="Calibri"/>
          <w:color w:val="333333"/>
          <w:sz w:val="21"/>
        </w:rPr>
        <w:t>A schedule with 10 patients who chose him specifically. Patients who ask for his recommendation on frames — and take it. A front desk not fielding calls from “what does my insurance cover.” Enough referral inflow that he’s selective about which new patients he accepts. Walking out by 4pm having made $9,500 gross. Being introduced at a community event as “the eye doctor everyone recommends.”</w:t>
      </w:r>
    </w:p>
    <w:p>
      <w:pPr>
        <w:shd w:fill="8B0000" w:color="auto" w:val="clear"/>
        <w:spacing w:before="200" w:after="60"/>
      </w:pPr>
      <w:r>
        <w:rPr>
          <w:rFonts w:ascii="Calibri" w:hAnsi="Calibri"/>
          <w:b/>
          <w:color w:val="FFFFFF"/>
          <w:sz w:val="18"/>
        </w:rPr>
        <w:t xml:space="preserve">  URGENCY  </w:t>
      </w:r>
    </w:p>
    <w:p>
      <w:pPr>
        <w:spacing w:before="0" w:after="80"/>
      </w:pPr>
      <w:r>
        <w:rPr>
          <w:rFonts w:ascii="Calibri" w:hAnsi="Calibri"/>
          <w:color w:val="333333"/>
          <w:sz w:val="21"/>
        </w:rPr>
        <w:t>Warby Parker just opened two miles from his office. A PE-backed regional chain is expanding into his market. His optical revenue is down 11% year-over-year. Three of his best patients moved to the new ophthalmology group that “does everything under one roof.” He is not in a crisis. But he can see it from here. Doing nothing is a slow erosion, not a stable floor.</w:t>
      </w:r>
    </w:p>
    <w:p>
      <w:pPr>
        <w:shd w:fill="1a6e1a" w:color="auto" w:val="clear"/>
        <w:spacing w:before="200" w:after="60"/>
      </w:pPr>
      <w:r>
        <w:rPr>
          <w:rFonts w:ascii="Calibri" w:hAnsi="Calibri"/>
          <w:b/>
          <w:color w:val="FFFFFF"/>
          <w:sz w:val="18"/>
        </w:rPr>
        <w:t xml:space="preserve">  RELIEF  </w:t>
      </w:r>
    </w:p>
    <w:p>
      <w:pPr>
        <w:spacing w:before="0" w:after="80"/>
      </w:pPr>
      <w:r>
        <w:rPr>
          <w:rFonts w:ascii="Calibri" w:hAnsi="Calibri"/>
          <w:color w:val="333333"/>
          <w:sz w:val="21"/>
        </w:rPr>
        <w:t>The version of Sam’s practice that authority positioning builds doesn’t compete with Warby Parker or Walmart Vision — it doesn’t occupy the same category in patients’ minds. Premium patients seek it out. The optical conversion rate is 72%. Dry eye patients arrive having already decided. Myopia management families are on a waitlist. Sam works 4 days a week, sees 10 patients a day, and nets more than he does now seeing 16. That is not a fantasy. It is a positioning problem with a solution.</w:t>
      </w:r>
    </w:p>
    <w:p>
      <w:pPr>
        <w:spacing w:before="0" w:after="0"/>
      </w:pPr>
      <w:r>
        <w:br w:type="page"/>
      </w:r>
    </w:p>
    <w:p>
      <w:pPr>
        <w:spacing w:before="360" w:after="120"/>
        <w:pBdr>
          <w:bottom w:val="single" w:sz="8" w:space="1" w:color="25aae1"/>
        </w:pBdr>
      </w:pPr>
      <w:r>
        <w:rPr>
          <w:rFonts w:ascii="Calibri" w:hAnsi="Calibri"/>
          <w:b/>
          <w:color w:val="25AAE1"/>
          <w:sz w:val="40"/>
        </w:rPr>
        <w:t>WHAT SAM HAS ALREADY TRIED</w:t>
      </w:r>
    </w:p>
    <w:p>
      <w:pPr>
        <w:spacing w:before="0" w:after="160"/>
      </w:pPr>
      <w:r>
        <w:rPr>
          <w:rFonts w:ascii="Calibri" w:hAnsi="Calibri"/>
          <w:color w:val="333333"/>
          <w:sz w:val="21"/>
        </w:rPr>
        <w:t>This avatar has a history of failed marketing engagements. Understanding this context is critical before any sales conversation. Each prior solution left a residual belief that shapes how Sam hears every new pitch.</w:t>
      </w:r>
    </w:p>
    <w:p>
      <w:pPr>
        <w:spacing w:before="160" w:after="40"/>
      </w:pPr>
      <w:r>
        <w:rPr>
          <w:rFonts w:ascii="Calibri" w:hAnsi="Calibri"/>
          <w:b/>
          <w:color w:val="25AAE1"/>
          <w:sz w:val="22"/>
        </w:rPr>
        <w:t>Local SEO Agency</w:t>
      </w:r>
    </w:p>
    <w:p>
      <w:pPr>
        <w:spacing w:before="20" w:after="60"/>
      </w:pPr>
      <w:r>
        <w:rPr>
          <w:rFonts w:ascii="Calibri" w:hAnsi="Calibri"/>
          <w:b/>
          <w:color w:val="25AAE1"/>
          <w:sz w:val="21"/>
        </w:rPr>
        <w:t xml:space="preserve">Result:  </w:t>
      </w:r>
      <w:r>
        <w:rPr>
          <w:rFonts w:ascii="Calibri" w:hAnsi="Calibri"/>
          <w:color w:val="333333"/>
          <w:sz w:val="21"/>
        </w:rPr>
        <w:t>Ranked higher for “eye exam near me.” Got more insurance-first calls.</w:t>
      </w:r>
    </w:p>
    <w:p>
      <w:pPr>
        <w:spacing w:before="20" w:after="60"/>
      </w:pPr>
      <w:r>
        <w:rPr>
          <w:rFonts w:ascii="Calibri" w:hAnsi="Calibri"/>
          <w:b/>
          <w:color w:val="25AAE1"/>
          <w:sz w:val="21"/>
        </w:rPr>
        <w:t xml:space="preserve">Residual belief:  </w:t>
      </w:r>
      <w:r>
        <w:rPr>
          <w:rFonts w:ascii="Calibri" w:hAnsi="Calibri"/>
          <w:color w:val="333333"/>
          <w:sz w:val="21"/>
        </w:rPr>
        <w:t>“SEO brings in whoever is searching for the cheapest exam — not quality patients.”</w:t>
      </w:r>
    </w:p>
    <w:p>
      <w:pPr>
        <w:shd w:fill="FFF8E1" w:color="auto" w:val="clear"/>
        <w:pBdr>
          <w:left w:val="single" w:sz="16" w:space="100" w:color="D4A844"/>
        </w:pBdr>
        <w:spacing w:before="40" w:after="160"/>
        <w:ind w:left="173"/>
      </w:pPr>
      <w:r>
        <w:rPr>
          <w:rFonts w:ascii="Calibri" w:hAnsi="Calibri"/>
          <w:color w:val="5C4500"/>
          <w:sz w:val="20"/>
        </w:rPr>
        <w:t>Note: SEO targeting was wrong. “Dry eye treatment [city]” and “best optometrist [city]” attract different patients than “eye exam near me.” Authority positioning changes what you rank for, not just how high.</w:t>
      </w:r>
    </w:p>
    <w:p>
      <w:pPr>
        <w:spacing w:before="160" w:after="40"/>
      </w:pPr>
      <w:r>
        <w:rPr>
          <w:rFonts w:ascii="Calibri" w:hAnsi="Calibri"/>
          <w:b/>
          <w:color w:val="25AAE1"/>
          <w:sz w:val="22"/>
        </w:rPr>
        <w:t>Google Ads / PPC</w:t>
      </w:r>
    </w:p>
    <w:p>
      <w:pPr>
        <w:spacing w:before="20" w:after="60"/>
      </w:pPr>
      <w:r>
        <w:rPr>
          <w:rFonts w:ascii="Calibri" w:hAnsi="Calibri"/>
          <w:b/>
          <w:color w:val="25AAE1"/>
          <w:sz w:val="21"/>
        </w:rPr>
        <w:t xml:space="preserve">Result:  </w:t>
      </w:r>
      <w:r>
        <w:rPr>
          <w:rFonts w:ascii="Calibri" w:hAnsi="Calibri"/>
          <w:color w:val="333333"/>
          <w:sz w:val="21"/>
        </w:rPr>
        <w:t>Spent $600–$1,500/month. Calls from people asking “do you take [discount vision plan]?”</w:t>
      </w:r>
    </w:p>
    <w:p>
      <w:pPr>
        <w:spacing w:before="20" w:after="60"/>
      </w:pPr>
      <w:r>
        <w:rPr>
          <w:rFonts w:ascii="Calibri" w:hAnsi="Calibri"/>
          <w:b/>
          <w:color w:val="25AAE1"/>
          <w:sz w:val="21"/>
        </w:rPr>
        <w:t xml:space="preserve">Residual belief:  </w:t>
      </w:r>
      <w:r>
        <w:rPr>
          <w:rFonts w:ascii="Calibri" w:hAnsi="Calibri"/>
          <w:color w:val="333333"/>
          <w:sz w:val="21"/>
        </w:rPr>
        <w:t>“Ads attract price shoppers — not the patients I want.”</w:t>
      </w:r>
    </w:p>
    <w:p>
      <w:pPr>
        <w:spacing w:before="160" w:after="40"/>
      </w:pPr>
      <w:r>
        <w:rPr>
          <w:rFonts w:ascii="Calibri" w:hAnsi="Calibri"/>
          <w:b/>
          <w:color w:val="25AAE1"/>
          <w:sz w:val="22"/>
        </w:rPr>
        <w:t>Facebook / Instagram Ads</w:t>
      </w:r>
    </w:p>
    <w:p>
      <w:pPr>
        <w:spacing w:before="20" w:after="60"/>
      </w:pPr>
      <w:r>
        <w:rPr>
          <w:rFonts w:ascii="Calibri" w:hAnsi="Calibri"/>
          <w:b/>
          <w:color w:val="25AAE1"/>
          <w:sz w:val="21"/>
        </w:rPr>
        <w:t xml:space="preserve">Result:  </w:t>
      </w:r>
      <w:r>
        <w:rPr>
          <w:rFonts w:ascii="Calibri" w:hAnsi="Calibri"/>
          <w:color w:val="333333"/>
          <w:sz w:val="21"/>
        </w:rPr>
        <w:t>Ran promotions. Got some new patients. Most bought one pair and never came back.</w:t>
      </w:r>
    </w:p>
    <w:p>
      <w:pPr>
        <w:spacing w:before="20" w:after="60"/>
      </w:pPr>
      <w:r>
        <w:rPr>
          <w:rFonts w:ascii="Calibri" w:hAnsi="Calibri"/>
          <w:b/>
          <w:color w:val="25AAE1"/>
          <w:sz w:val="21"/>
        </w:rPr>
        <w:t xml:space="preserve">Residual belief:  </w:t>
      </w:r>
      <w:r>
        <w:rPr>
          <w:rFonts w:ascii="Calibri" w:hAnsi="Calibri"/>
          <w:color w:val="333333"/>
          <w:sz w:val="21"/>
        </w:rPr>
        <w:t>“Social media brings in one-timers — they don’t become loyal patients.”</w:t>
      </w:r>
    </w:p>
    <w:p>
      <w:pPr>
        <w:spacing w:before="160" w:after="40"/>
      </w:pPr>
      <w:r>
        <w:rPr>
          <w:rFonts w:ascii="Calibri" w:hAnsi="Calibri"/>
          <w:b/>
          <w:color w:val="25AAE1"/>
          <w:sz w:val="22"/>
        </w:rPr>
        <w:t>New Website</w:t>
      </w:r>
    </w:p>
    <w:p>
      <w:pPr>
        <w:spacing w:before="20" w:after="60"/>
      </w:pPr>
      <w:r>
        <w:rPr>
          <w:rFonts w:ascii="Calibri" w:hAnsi="Calibri"/>
          <w:b/>
          <w:color w:val="25AAE1"/>
          <w:sz w:val="21"/>
        </w:rPr>
        <w:t xml:space="preserve">Result:  </w:t>
      </w:r>
      <w:r>
        <w:rPr>
          <w:rFonts w:ascii="Calibri" w:hAnsi="Calibri"/>
          <w:color w:val="333333"/>
          <w:sz w:val="21"/>
        </w:rPr>
        <w:t>Looks professional. Still says “comprehensive eye care for the whole family.” Doesn’t differentiate.</w:t>
      </w:r>
    </w:p>
    <w:p>
      <w:pPr>
        <w:spacing w:before="20" w:after="60"/>
      </w:pPr>
      <w:r>
        <w:rPr>
          <w:rFonts w:ascii="Calibri" w:hAnsi="Calibri"/>
          <w:b/>
          <w:color w:val="25AAE1"/>
          <w:sz w:val="21"/>
        </w:rPr>
        <w:t xml:space="preserve">Residual belief:  </w:t>
      </w:r>
      <w:r>
        <w:rPr>
          <w:rFonts w:ascii="Calibri" w:hAnsi="Calibri"/>
          <w:color w:val="333333"/>
          <w:sz w:val="21"/>
        </w:rPr>
        <w:t>“The website is fine — the problem is something else.”</w:t>
      </w:r>
    </w:p>
    <w:p>
      <w:pPr>
        <w:shd w:fill="FFF8E1" w:color="auto" w:val="clear"/>
        <w:pBdr>
          <w:left w:val="single" w:sz="16" w:space="100" w:color="D4A844"/>
        </w:pBdr>
        <w:spacing w:before="40" w:after="160"/>
        <w:ind w:left="173"/>
      </w:pPr>
      <w:r>
        <w:rPr>
          <w:rFonts w:ascii="Calibri" w:hAnsi="Calibri"/>
          <w:color w:val="5C4500"/>
          <w:sz w:val="20"/>
        </w:rPr>
        <w:t>Note: The website is not fine. It is indistinguishable from every other practice in the market.</w:t>
      </w:r>
    </w:p>
    <w:p>
      <w:pPr>
        <w:spacing w:before="160" w:after="40"/>
      </w:pPr>
      <w:r>
        <w:rPr>
          <w:rFonts w:ascii="Calibri" w:hAnsi="Calibri"/>
          <w:b/>
          <w:color w:val="25AAE1"/>
          <w:sz w:val="22"/>
        </w:rPr>
        <w:t>Practice Software Recall System</w:t>
      </w:r>
    </w:p>
    <w:p>
      <w:pPr>
        <w:spacing w:before="20" w:after="60"/>
      </w:pPr>
      <w:r>
        <w:rPr>
          <w:rFonts w:ascii="Calibri" w:hAnsi="Calibri"/>
          <w:b/>
          <w:color w:val="25AAE1"/>
          <w:sz w:val="21"/>
        </w:rPr>
        <w:t xml:space="preserve">Result:  </w:t>
      </w:r>
      <w:r>
        <w:rPr>
          <w:rFonts w:ascii="Calibri" w:hAnsi="Calibri"/>
          <w:color w:val="333333"/>
          <w:sz w:val="21"/>
        </w:rPr>
        <w:t>Sends appointment reminders. Generic. Patients ignore or unsubscribe.</w:t>
      </w:r>
    </w:p>
    <w:p>
      <w:pPr>
        <w:spacing w:before="20" w:after="60"/>
      </w:pPr>
      <w:r>
        <w:rPr>
          <w:rFonts w:ascii="Calibri" w:hAnsi="Calibri"/>
          <w:b/>
          <w:color w:val="25AAE1"/>
          <w:sz w:val="21"/>
        </w:rPr>
        <w:t xml:space="preserve">Residual belief:  </w:t>
      </w:r>
      <w:r>
        <w:rPr>
          <w:rFonts w:ascii="Calibri" w:hAnsi="Calibri"/>
          <w:color w:val="333333"/>
          <w:sz w:val="21"/>
        </w:rPr>
        <w:t>“Automated messages feel impersonal — patients know it’s a system, not a person.”</w:t>
      </w:r>
    </w:p>
    <w:p>
      <w:pPr>
        <w:spacing w:before="160" w:after="40"/>
      </w:pPr>
      <w:r>
        <w:rPr>
          <w:rFonts w:ascii="Calibri" w:hAnsi="Calibri"/>
          <w:b/>
          <w:color w:val="25AAE1"/>
          <w:sz w:val="22"/>
        </w:rPr>
        <w:t>Hiring Front Desk to “Do Social Media”</w:t>
      </w:r>
    </w:p>
    <w:p>
      <w:pPr>
        <w:spacing w:before="20" w:after="60"/>
      </w:pPr>
      <w:r>
        <w:rPr>
          <w:rFonts w:ascii="Calibri" w:hAnsi="Calibri"/>
          <w:b/>
          <w:color w:val="25AAE1"/>
          <w:sz w:val="21"/>
        </w:rPr>
        <w:t xml:space="preserve">Result:  </w:t>
      </w:r>
      <w:r>
        <w:rPr>
          <w:rFonts w:ascii="Calibri" w:hAnsi="Calibri"/>
          <w:color w:val="333333"/>
          <w:sz w:val="21"/>
        </w:rPr>
        <w:t>Posted a few times. Generic eye health awareness posts. No discernible patient impact.</w:t>
      </w:r>
    </w:p>
    <w:p>
      <w:pPr>
        <w:spacing w:before="20" w:after="60"/>
      </w:pPr>
      <w:r>
        <w:rPr>
          <w:rFonts w:ascii="Calibri" w:hAnsi="Calibri"/>
          <w:b/>
          <w:color w:val="25AAE1"/>
          <w:sz w:val="21"/>
        </w:rPr>
        <w:t xml:space="preserve">Residual belief:  </w:t>
      </w:r>
      <w:r>
        <w:rPr>
          <w:rFonts w:ascii="Calibri" w:hAnsi="Calibri"/>
          <w:color w:val="333333"/>
          <w:sz w:val="21"/>
        </w:rPr>
        <w:t>“Social media doesn’t really move the needle for a local practice like mine.”</w:t>
      </w:r>
    </w:p>
    <w:p>
      <w:pPr>
        <w:spacing w:before="0" w:after="0"/>
      </w:pPr>
      <w:r>
        <w:br w:type="page"/>
      </w:r>
    </w:p>
    <w:p>
      <w:pPr>
        <w:spacing w:before="360" w:after="120"/>
        <w:pBdr>
          <w:bottom w:val="single" w:sz="8" w:space="1" w:color="25aae1"/>
        </w:pBdr>
      </w:pPr>
      <w:r>
        <w:rPr>
          <w:rFonts w:ascii="Calibri" w:hAnsi="Calibri"/>
          <w:b/>
          <w:color w:val="25AAE1"/>
          <w:sz w:val="40"/>
        </w:rPr>
        <w:t>OBJECTIONS &amp; REFRAMES</w:t>
      </w:r>
    </w:p>
    <w:p>
      <w:pPr>
        <w:spacing w:before="0" w:after="160"/>
      </w:pPr>
      <w:r>
        <w:rPr>
          <w:rFonts w:ascii="Calibri" w:hAnsi="Calibri"/>
          <w:color w:val="333333"/>
          <w:sz w:val="21"/>
        </w:rPr>
        <w:t>These objections appear consistently in the first and second sales conversation. Each must be handled without dismissing the underlying concern — because each concern is legitimate. The goal is reframe, not rebut.</w:t>
      </w:r>
    </w:p>
    <w:p>
      <w:pPr>
        <w:spacing w:before="200" w:after="60"/>
      </w:pPr>
      <w:r>
        <w:rPr>
          <w:rFonts w:ascii="Calibri" w:hAnsi="Calibri"/>
          <w:b/>
          <w:i/>
          <w:color w:val="58585A"/>
          <w:sz w:val="22"/>
        </w:rPr>
        <w:t>“I’ve already spent money on marketing and it brought in the wrong patients.”</w:t>
      </w:r>
    </w:p>
    <w:p>
      <w:pPr>
        <w:spacing w:before="0" w:after="80"/>
      </w:pPr>
      <w:r>
        <w:rPr>
          <w:rFonts w:ascii="Calibri" w:hAnsi="Calibri"/>
          <w:b/>
          <w:color w:val="CC5500"/>
          <w:sz w:val="20"/>
        </w:rPr>
        <w:t xml:space="preserve">Underlying fear:  </w:t>
      </w:r>
      <w:r>
        <w:rPr>
          <w:rFonts w:ascii="Calibri" w:hAnsi="Calibri"/>
          <w:color w:val="333333"/>
          <w:sz w:val="20"/>
        </w:rPr>
        <w:t>I’ll spend another $20,000 and still be stuck with the same problem.</w:t>
      </w:r>
    </w:p>
    <w:p>
      <w:pPr>
        <w:shd w:fill="EAF6FC" w:color="auto" w:val="clear"/>
        <w:pBdr>
          <w:left w:val="single" w:sz="20" w:space="120" w:color="25aae1"/>
        </w:pBdr>
        <w:spacing w:before="120" w:after="120"/>
        <w:ind w:left="216"/>
      </w:pPr>
      <w:r>
        <w:rPr>
          <w:rFonts w:ascii="Calibri" w:hAnsi="Calibri"/>
          <w:color w:val="58585A"/>
          <w:sz w:val="21"/>
        </w:rPr>
        <w:t>Response: What didn’t work was positioning you as a commodity competing on price and convenience — exactly what SEO-for-exam-volume and generic ad campaigns do. Authority positioning pre-selects for patients making a trust-based decision, not a price-based one. Before they call, they already know you’re the right choice. The comparison category changes. The patient type changes with it.</w:t>
      </w:r>
    </w:p>
    <w:p>
      <w:pPr>
        <w:spacing w:before="200" w:after="60"/>
      </w:pPr>
      <w:r>
        <w:rPr>
          <w:rFonts w:ascii="Calibri" w:hAnsi="Calibri"/>
          <w:b/>
          <w:i/>
          <w:color w:val="58585A"/>
          <w:sz w:val="22"/>
        </w:rPr>
        <w:t>“I don’t have time to create content or manage a social media presence.”</w:t>
      </w:r>
    </w:p>
    <w:p>
      <w:pPr>
        <w:spacing w:before="0" w:after="80"/>
      </w:pPr>
      <w:r>
        <w:rPr>
          <w:rFonts w:ascii="Calibri" w:hAnsi="Calibri"/>
          <w:b/>
          <w:color w:val="CC5500"/>
          <w:sz w:val="20"/>
        </w:rPr>
        <w:t xml:space="preserve">Underlying fear:  </w:t>
      </w:r>
      <w:r>
        <w:rPr>
          <w:rFonts w:ascii="Calibri" w:hAnsi="Calibri"/>
          <w:color w:val="333333"/>
          <w:sz w:val="20"/>
        </w:rPr>
        <w:t>This is going to become another thing I have to do personally.</w:t>
      </w:r>
    </w:p>
    <w:p>
      <w:pPr>
        <w:shd w:fill="EAF6FC" w:color="auto" w:val="clear"/>
        <w:pBdr>
          <w:left w:val="single" w:sz="20" w:space="120" w:color="25aae1"/>
        </w:pBdr>
        <w:spacing w:before="120" w:after="120"/>
        <w:ind w:left="216"/>
      </w:pPr>
      <w:r>
        <w:rPr>
          <w:rFonts w:ascii="Calibri" w:hAnsi="Calibri"/>
          <w:color w:val="58585A"/>
          <w:sz w:val="21"/>
        </w:rPr>
        <w:t>Response: You won’t be creating content. You’ll be approving it. Your clinical expertise — your philosophy about dry eye, about myopia in children, about why certain lenses matter — becomes the authority content that your team writes and publishes under your name. Your role is 20 minutes of review and sign-off. The content engine runs without requiring you to be in it.</w:t>
      </w:r>
    </w:p>
    <w:p>
      <w:pPr>
        <w:spacing w:before="200" w:after="60"/>
      </w:pPr>
      <w:r>
        <w:rPr>
          <w:rFonts w:ascii="Calibri" w:hAnsi="Calibri"/>
          <w:b/>
          <w:i/>
          <w:color w:val="58585A"/>
          <w:sz w:val="22"/>
        </w:rPr>
        <w:t>“I don’t want to do heavy follow-up with patients. That’s not my style.”</w:t>
      </w:r>
    </w:p>
    <w:p>
      <w:pPr>
        <w:spacing w:before="0" w:after="80"/>
      </w:pPr>
      <w:r>
        <w:rPr>
          <w:rFonts w:ascii="Calibri" w:hAnsi="Calibri"/>
          <w:b/>
          <w:color w:val="CC5500"/>
          <w:sz w:val="20"/>
        </w:rPr>
        <w:t xml:space="preserve">Underlying fear:  </w:t>
      </w:r>
      <w:r>
        <w:rPr>
          <w:rFonts w:ascii="Calibri" w:hAnsi="Calibri"/>
          <w:color w:val="333333"/>
          <w:sz w:val="20"/>
        </w:rPr>
        <w:t>I’ll feel like I’m pestering people or being a salesperson.</w:t>
      </w:r>
    </w:p>
    <w:p>
      <w:pPr>
        <w:shd w:fill="EAF6FC" w:color="auto" w:val="clear"/>
        <w:pBdr>
          <w:left w:val="single" w:sz="20" w:space="120" w:color="25aae1"/>
        </w:pBdr>
        <w:spacing w:before="120" w:after="120"/>
        <w:ind w:left="216"/>
      </w:pPr>
      <w:r>
        <w:rPr>
          <w:rFonts w:ascii="Calibri" w:hAnsi="Calibri"/>
          <w:color w:val="58585A"/>
          <w:sz w:val="21"/>
        </w:rPr>
        <w:t>Response: Patients who matter don’t experience well-timed, relevant communication as pestering — they experience it as the practice remembering them. A note that says “Your daughter’s myopia has been stable for 8 months — here’s what that means” is not a sales pitch. It’s clinical care delivered outside the exam room. The difference between annoying follow-up and appreciated communication is relevance and timing. We build the latter.</w:t>
      </w:r>
    </w:p>
    <w:p>
      <w:pPr>
        <w:spacing w:before="200" w:after="60"/>
      </w:pPr>
      <w:r>
        <w:rPr>
          <w:rFonts w:ascii="Calibri" w:hAnsi="Calibri"/>
          <w:b/>
          <w:i/>
          <w:color w:val="58585A"/>
          <w:sz w:val="22"/>
        </w:rPr>
        <w:t>“I don’t want to automate my patient relationships. It feels impersonal.”</w:t>
      </w:r>
    </w:p>
    <w:p>
      <w:pPr>
        <w:spacing w:before="0" w:after="80"/>
      </w:pPr>
      <w:r>
        <w:rPr>
          <w:rFonts w:ascii="Calibri" w:hAnsi="Calibri"/>
          <w:b/>
          <w:color w:val="CC5500"/>
          <w:sz w:val="20"/>
        </w:rPr>
        <w:t xml:space="preserve">Underlying fear:  </w:t>
      </w:r>
      <w:r>
        <w:rPr>
          <w:rFonts w:ascii="Calibri" w:hAnsi="Calibri"/>
          <w:color w:val="333333"/>
          <w:sz w:val="20"/>
        </w:rPr>
        <w:t>My patients know me personally. I don’t want them to feel like they’re just a number.</w:t>
      </w:r>
    </w:p>
    <w:p>
      <w:pPr>
        <w:shd w:fill="EAF6FC" w:color="auto" w:val="clear"/>
        <w:pBdr>
          <w:left w:val="single" w:sz="20" w:space="120" w:color="25aae1"/>
        </w:pBdr>
        <w:spacing w:before="120" w:after="120"/>
        <w:ind w:left="216"/>
      </w:pPr>
      <w:r>
        <w:rPr>
          <w:rFonts w:ascii="Calibri" w:hAnsi="Calibri"/>
          <w:color w:val="58585A"/>
          <w:sz w:val="21"/>
        </w:rPr>
        <w:t>Response: The question isn’t automation vs. personal care. It’s: what happens when there is no system at all? Right now, 40% of your patients don’t come back the following year — not because they had a bad experience, because no one from your practice reached out in a way that mattered to them. A well-built patient care system doesn’t replace your personal care. It extends it to the 8,760 hours of the year you’re not in the exam room.</w:t>
      </w:r>
    </w:p>
    <w:p>
      <w:pPr>
        <w:spacing w:before="200" w:after="60"/>
      </w:pPr>
      <w:r>
        <w:rPr>
          <w:rFonts w:ascii="Calibri" w:hAnsi="Calibri"/>
          <w:b/>
          <w:i/>
          <w:color w:val="58585A"/>
          <w:sz w:val="22"/>
        </w:rPr>
        <w:t>“I’ve been pitched by a lot of marketing consultants. What makes you different?”</w:t>
      </w:r>
    </w:p>
    <w:p>
      <w:pPr>
        <w:spacing w:before="0" w:after="80"/>
      </w:pPr>
      <w:r>
        <w:rPr>
          <w:rFonts w:ascii="Calibri" w:hAnsi="Calibri"/>
          <w:b/>
          <w:color w:val="CC5500"/>
          <w:sz w:val="20"/>
        </w:rPr>
        <w:t xml:space="preserve">Underlying fear:  </w:t>
      </w:r>
      <w:r>
        <w:rPr>
          <w:rFonts w:ascii="Calibri" w:hAnsi="Calibri"/>
          <w:color w:val="333333"/>
          <w:sz w:val="20"/>
        </w:rPr>
        <w:t>Another agency that promises quality patients and delivers clicks and followers.</w:t>
      </w:r>
    </w:p>
    <w:p>
      <w:pPr>
        <w:shd w:fill="EAF6FC" w:color="auto" w:val="clear"/>
        <w:pBdr>
          <w:left w:val="single" w:sz="20" w:space="120" w:color="25aae1"/>
        </w:pBdr>
        <w:spacing w:before="120" w:after="120"/>
        <w:ind w:left="216"/>
      </w:pPr>
      <w:r>
        <w:rPr>
          <w:rFonts w:ascii="Calibri" w:hAnsi="Calibri"/>
          <w:color w:val="58585A"/>
          <w:sz w:val="21"/>
        </w:rPr>
        <w:t>Response: Every agency you’ve worked with was optimizing for volume metrics — traffic, clicks, impressions, new patients. We don’t measure any of those things. We measure patient quality signals: in-office optical conversion rate, LTV per patient, specialty case uptake, and referral source concentration. Our work is successful when the patients who find you are already convinced before they call. That is a different goal, built with a different system.</w:t>
      </w:r>
    </w:p>
    <w:p>
      <w:pPr>
        <w:spacing w:before="200" w:after="60"/>
      </w:pPr>
      <w:r>
        <w:rPr>
          <w:rFonts w:ascii="Calibri" w:hAnsi="Calibri"/>
          <w:b/>
          <w:i/>
          <w:color w:val="58585A"/>
          <w:sz w:val="22"/>
        </w:rPr>
        <w:t>“My best patients come from referrals. I just need more of that.”</w:t>
      </w:r>
    </w:p>
    <w:p>
      <w:pPr>
        <w:spacing w:before="0" w:after="80"/>
      </w:pPr>
      <w:r>
        <w:rPr>
          <w:rFonts w:ascii="Calibri" w:hAnsi="Calibri"/>
          <w:b/>
          <w:color w:val="CC5500"/>
          <w:sz w:val="20"/>
        </w:rPr>
        <w:t xml:space="preserve">Underlying fear:  </w:t>
      </w:r>
      <w:r>
        <w:rPr>
          <w:rFonts w:ascii="Calibri" w:hAnsi="Calibri"/>
          <w:color w:val="333333"/>
          <w:sz w:val="20"/>
        </w:rPr>
        <w:t>I know what works — I just can’t figure out how to get more of it.</w:t>
      </w:r>
    </w:p>
    <w:p>
      <w:pPr>
        <w:shd w:fill="EAF6FC" w:color="auto" w:val="clear"/>
        <w:pBdr>
          <w:left w:val="single" w:sz="20" w:space="120" w:color="25aae1"/>
        </w:pBdr>
        <w:spacing w:before="120" w:after="120"/>
        <w:ind w:left="216"/>
      </w:pPr>
      <w:r>
        <w:rPr>
          <w:rFonts w:ascii="Calibri" w:hAnsi="Calibri"/>
          <w:color w:val="58585A"/>
          <w:sz w:val="21"/>
        </w:rPr>
        <w:t>Response: You’re right that referrals are the best source. You’re missing the system that makes them happen more often and more specifically. Right now, referrals happen because a patient had a great experience and happened to mention it. The system we build makes those moments predictable: a post-dry-eye-treatment follow-up that invites patients to share, a pediatric myopia welcome kit parents naturally share with other parents, specific touchpoints that give satisfied patients a reason and a mechanism to refer. Engineering the referral doesn’t make it feel less genuine. It makes it happen more often.</w:t>
      </w:r>
    </w:p>
    <w:p>
      <w:pPr>
        <w:spacing w:before="0" w:after="0"/>
      </w:pPr>
      <w:r>
        <w:br w:type="page"/>
      </w:r>
    </w:p>
    <w:p>
      <w:pPr>
        <w:spacing w:before="360" w:after="120"/>
        <w:pBdr>
          <w:bottom w:val="single" w:sz="8" w:space="1" w:color="25aae1"/>
        </w:pBdr>
      </w:pPr>
      <w:r>
        <w:rPr>
          <w:rFonts w:ascii="Calibri" w:hAnsi="Calibri"/>
          <w:b/>
          <w:color w:val="25AAE1"/>
          <w:sz w:val="40"/>
        </w:rPr>
        <w:t>LANGUAGE GUIDE</w:t>
      </w:r>
    </w:p>
    <w:p>
      <w:pPr>
        <w:spacing w:before="240" w:after="80"/>
      </w:pPr>
      <w:r>
        <w:rPr>
          <w:rFonts w:ascii="Calibri" w:hAnsi="Calibri"/>
          <w:b/>
          <w:color w:val="58585A"/>
          <w:sz w:val="28"/>
        </w:rPr>
        <w:t>Industry Terms Sam Uses</w:t>
      </w:r>
    </w:p>
    <w:tbl>
      <w:tblPr>
        <w:tblStyle w:val="TableGrid"/>
        <w:tblW w:type="auto" w:w="0"/>
        <w:tblLook w:firstColumn="1" w:firstRow="1" w:lastColumn="0" w:lastRow="0" w:noHBand="0" w:noVBand="1" w:val="04A0"/>
      </w:tblPr>
      <w:tblGrid>
        <w:gridCol w:w="4320"/>
        <w:gridCol w:w="4320"/>
      </w:tblGrid>
      <w:tr>
        <w:tc>
          <w:tcPr>
            <w:tcW w:type="dxa" w:w="2800"/>
            <w:shd w:fill="EAF6FC" w:color="auto" w:val="clear"/>
          </w:tcPr>
          <w:p>
            <w:pPr>
              <w:spacing w:before="60" w:after="60"/>
            </w:pPr>
            <w:r>
              <w:rPr>
                <w:rFonts w:ascii="Calibri" w:hAnsi="Calibri"/>
                <w:b/>
                <w:color w:val="25AAE1"/>
                <w:sz w:val="20"/>
              </w:rPr>
              <w:t>Chair time</w:t>
            </w:r>
          </w:p>
        </w:tc>
        <w:tc>
          <w:tcPr>
            <w:tcW w:type="dxa" w:w="5700"/>
            <w:shd w:fill="EAF6FC" w:color="auto" w:val="clear"/>
          </w:tcPr>
          <w:p>
            <w:pPr>
              <w:spacing w:before="60" w:after="60"/>
            </w:pPr>
            <w:r>
              <w:rPr>
                <w:rFonts w:ascii="Calibri" w:hAnsi="Calibri"/>
                <w:color w:val="333333"/>
                <w:sz w:val="20"/>
              </w:rPr>
              <w:t>The scarce resource — Sam measures everything in chair time</w:t>
            </w:r>
          </w:p>
        </w:tc>
      </w:tr>
      <w:tr>
        <w:tc>
          <w:tcPr>
            <w:tcW w:type="dxa" w:w="2800"/>
            <w:shd w:fill="FFFFFF" w:color="auto" w:val="clear"/>
          </w:tcPr>
          <w:p>
            <w:pPr>
              <w:spacing w:before="60" w:after="60"/>
            </w:pPr>
            <w:r>
              <w:rPr>
                <w:rFonts w:ascii="Calibri" w:hAnsi="Calibri"/>
                <w:b/>
                <w:color w:val="25AAE1"/>
                <w:sz w:val="20"/>
              </w:rPr>
              <w:t>Optical conversion / capture rate</w:t>
            </w:r>
          </w:p>
        </w:tc>
        <w:tc>
          <w:tcPr>
            <w:tcW w:type="dxa" w:w="5700"/>
            <w:shd w:fill="FFFFFF" w:color="auto" w:val="clear"/>
          </w:tcPr>
          <w:p>
            <w:pPr>
              <w:spacing w:before="60" w:after="60"/>
            </w:pPr>
            <w:r>
              <w:rPr>
                <w:rFonts w:ascii="Calibri" w:hAnsi="Calibri"/>
                <w:color w:val="333333"/>
                <w:sz w:val="20"/>
              </w:rPr>
              <w:t>% of exam patients who buy optical in-office</w:t>
            </w:r>
          </w:p>
        </w:tc>
      </w:tr>
      <w:tr>
        <w:tc>
          <w:tcPr>
            <w:tcW w:type="dxa" w:w="2800"/>
            <w:shd w:fill="EAF6FC" w:color="auto" w:val="clear"/>
          </w:tcPr>
          <w:p>
            <w:pPr>
              <w:spacing w:before="60" w:after="60"/>
            </w:pPr>
            <w:r>
              <w:rPr>
                <w:rFonts w:ascii="Calibri" w:hAnsi="Calibri"/>
                <w:b/>
                <w:color w:val="25AAE1"/>
                <w:sz w:val="20"/>
              </w:rPr>
              <w:t>Recall</w:t>
            </w:r>
          </w:p>
        </w:tc>
        <w:tc>
          <w:tcPr>
            <w:tcW w:type="dxa" w:w="5700"/>
            <w:shd w:fill="EAF6FC" w:color="auto" w:val="clear"/>
          </w:tcPr>
          <w:p>
            <w:pPr>
              <w:spacing w:before="60" w:after="60"/>
            </w:pPr>
            <w:r>
              <w:rPr>
                <w:rFonts w:ascii="Calibri" w:hAnsi="Calibri"/>
                <w:color w:val="333333"/>
                <w:sz w:val="20"/>
              </w:rPr>
              <w:t>Patient retention / annual re-examination scheduling</w:t>
            </w:r>
          </w:p>
        </w:tc>
      </w:tr>
      <w:tr>
        <w:tc>
          <w:tcPr>
            <w:tcW w:type="dxa" w:w="2800"/>
            <w:shd w:fill="FFFFFF" w:color="auto" w:val="clear"/>
          </w:tcPr>
          <w:p>
            <w:pPr>
              <w:spacing w:before="60" w:after="60"/>
            </w:pPr>
            <w:r>
              <w:rPr>
                <w:rFonts w:ascii="Calibri" w:hAnsi="Calibri"/>
                <w:b/>
                <w:color w:val="25AAE1"/>
                <w:sz w:val="20"/>
              </w:rPr>
              <w:t>Medical billing</w:t>
            </w:r>
          </w:p>
        </w:tc>
        <w:tc>
          <w:tcPr>
            <w:tcW w:type="dxa" w:w="5700"/>
            <w:shd w:fill="FFFFFF" w:color="auto" w:val="clear"/>
          </w:tcPr>
          <w:p>
            <w:pPr>
              <w:spacing w:before="60" w:after="60"/>
            </w:pPr>
            <w:r>
              <w:rPr>
                <w:rFonts w:ascii="Calibri" w:hAnsi="Calibri"/>
                <w:color w:val="333333"/>
                <w:sz w:val="20"/>
              </w:rPr>
              <w:t>Billing eye disease to medical insurance — higher reimbursement</w:t>
            </w:r>
          </w:p>
        </w:tc>
      </w:tr>
      <w:tr>
        <w:tc>
          <w:tcPr>
            <w:tcW w:type="dxa" w:w="2800"/>
            <w:shd w:fill="EAF6FC" w:color="auto" w:val="clear"/>
          </w:tcPr>
          <w:p>
            <w:pPr>
              <w:spacing w:before="60" w:after="60"/>
            </w:pPr>
            <w:r>
              <w:rPr>
                <w:rFonts w:ascii="Calibri" w:hAnsi="Calibri"/>
                <w:b/>
                <w:color w:val="25AAE1"/>
                <w:sz w:val="20"/>
              </w:rPr>
              <w:t>DED / dry eye disease</w:t>
            </w:r>
          </w:p>
        </w:tc>
        <w:tc>
          <w:tcPr>
            <w:tcW w:type="dxa" w:w="5700"/>
            <w:shd w:fill="EAF6FC" w:color="auto" w:val="clear"/>
          </w:tcPr>
          <w:p>
            <w:pPr>
              <w:spacing w:before="60" w:after="60"/>
            </w:pPr>
            <w:r>
              <w:rPr>
                <w:rFonts w:ascii="Calibri" w:hAnsi="Calibri"/>
                <w:color w:val="333333"/>
                <w:sz w:val="20"/>
              </w:rPr>
              <w:t>The specialty diagnosis — not “dry eyes”</w:t>
            </w:r>
          </w:p>
        </w:tc>
      </w:tr>
      <w:tr>
        <w:tc>
          <w:tcPr>
            <w:tcW w:type="dxa" w:w="2800"/>
            <w:shd w:fill="FFFFFF" w:color="auto" w:val="clear"/>
          </w:tcPr>
          <w:p>
            <w:pPr>
              <w:spacing w:before="60" w:after="60"/>
            </w:pPr>
            <w:r>
              <w:rPr>
                <w:rFonts w:ascii="Calibri" w:hAnsi="Calibri"/>
                <w:b/>
                <w:color w:val="25AAE1"/>
                <w:sz w:val="20"/>
              </w:rPr>
              <w:t>Myopia management / Ortho-K / MiSight</w:t>
            </w:r>
          </w:p>
        </w:tc>
        <w:tc>
          <w:tcPr>
            <w:tcW w:type="dxa" w:w="5700"/>
            <w:shd w:fill="FFFFFF" w:color="auto" w:val="clear"/>
          </w:tcPr>
          <w:p>
            <w:pPr>
              <w:spacing w:before="60" w:after="60"/>
            </w:pPr>
            <w:r>
              <w:rPr>
                <w:rFonts w:ascii="Calibri" w:hAnsi="Calibri"/>
                <w:color w:val="333333"/>
                <w:sz w:val="20"/>
              </w:rPr>
              <w:t>Specialty pediatric services</w:t>
            </w:r>
          </w:p>
        </w:tc>
      </w:tr>
      <w:tr>
        <w:tc>
          <w:tcPr>
            <w:tcW w:type="dxa" w:w="2800"/>
            <w:shd w:fill="EAF6FC" w:color="auto" w:val="clear"/>
          </w:tcPr>
          <w:p>
            <w:pPr>
              <w:spacing w:before="60" w:after="60"/>
            </w:pPr>
            <w:r>
              <w:rPr>
                <w:rFonts w:ascii="Calibri" w:hAnsi="Calibri"/>
                <w:b/>
                <w:color w:val="25AAE1"/>
                <w:sz w:val="20"/>
              </w:rPr>
              <w:t>Premium progressives / free-form / digital surfaced</w:t>
            </w:r>
          </w:p>
        </w:tc>
        <w:tc>
          <w:tcPr>
            <w:tcW w:type="dxa" w:w="5700"/>
            <w:shd w:fill="EAF6FC" w:color="auto" w:val="clear"/>
          </w:tcPr>
          <w:p>
            <w:pPr>
              <w:spacing w:before="60" w:after="60"/>
            </w:pPr>
            <w:r>
              <w:rPr>
                <w:rFonts w:ascii="Calibri" w:hAnsi="Calibri"/>
                <w:color w:val="333333"/>
                <w:sz w:val="20"/>
              </w:rPr>
              <w:t>High-margin lens category</w:t>
            </w:r>
          </w:p>
        </w:tc>
      </w:tr>
      <w:tr>
        <w:tc>
          <w:tcPr>
            <w:tcW w:type="dxa" w:w="2800"/>
            <w:shd w:fill="FFFFFF" w:color="auto" w:val="clear"/>
          </w:tcPr>
          <w:p>
            <w:pPr>
              <w:spacing w:before="60" w:after="60"/>
            </w:pPr>
            <w:r>
              <w:rPr>
                <w:rFonts w:ascii="Calibri" w:hAnsi="Calibri"/>
                <w:b/>
                <w:color w:val="25AAE1"/>
                <w:sz w:val="20"/>
              </w:rPr>
              <w:t>AR</w:t>
            </w:r>
          </w:p>
        </w:tc>
        <w:tc>
          <w:tcPr>
            <w:tcW w:type="dxa" w:w="5700"/>
            <w:shd w:fill="FFFFFF" w:color="auto" w:val="clear"/>
          </w:tcPr>
          <w:p>
            <w:pPr>
              <w:spacing w:before="60" w:after="60"/>
            </w:pPr>
            <w:r>
              <w:rPr>
                <w:rFonts w:ascii="Calibri" w:hAnsi="Calibri"/>
                <w:color w:val="333333"/>
                <w:sz w:val="20"/>
              </w:rPr>
              <w:t>Anti-reflective coating — primary upgrade conversation</w:t>
            </w:r>
          </w:p>
        </w:tc>
      </w:tr>
      <w:tr>
        <w:tc>
          <w:tcPr>
            <w:tcW w:type="dxa" w:w="2800"/>
            <w:shd w:fill="EAF6FC" w:color="auto" w:val="clear"/>
          </w:tcPr>
          <w:p>
            <w:pPr>
              <w:spacing w:before="60" w:after="60"/>
            </w:pPr>
            <w:r>
              <w:rPr>
                <w:rFonts w:ascii="Calibri" w:hAnsi="Calibri"/>
                <w:b/>
                <w:color w:val="25AAE1"/>
                <w:sz w:val="20"/>
              </w:rPr>
              <w:t>Complete pair</w:t>
            </w:r>
          </w:p>
        </w:tc>
        <w:tc>
          <w:tcPr>
            <w:tcW w:type="dxa" w:w="5700"/>
            <w:shd w:fill="EAF6FC" w:color="auto" w:val="clear"/>
          </w:tcPr>
          <w:p>
            <w:pPr>
              <w:spacing w:before="60" w:after="60"/>
            </w:pPr>
            <w:r>
              <w:rPr>
                <w:rFonts w:ascii="Calibri" w:hAnsi="Calibri"/>
                <w:color w:val="333333"/>
                <w:sz w:val="20"/>
              </w:rPr>
              <w:t>Frame + lenses as a bundle — optical retail framing</w:t>
            </w:r>
          </w:p>
        </w:tc>
      </w:tr>
      <w:tr>
        <w:tc>
          <w:tcPr>
            <w:tcW w:type="dxa" w:w="2800"/>
            <w:shd w:fill="FFFFFF" w:color="auto" w:val="clear"/>
          </w:tcPr>
          <w:p>
            <w:pPr>
              <w:spacing w:before="60" w:after="60"/>
            </w:pPr>
            <w:r>
              <w:rPr>
                <w:rFonts w:ascii="Calibri" w:hAnsi="Calibri"/>
                <w:b/>
                <w:color w:val="25AAE1"/>
                <w:sz w:val="20"/>
              </w:rPr>
              <w:t>VSP / EyeMed / Davis</w:t>
            </w:r>
          </w:p>
        </w:tc>
        <w:tc>
          <w:tcPr>
            <w:tcW w:type="dxa" w:w="5700"/>
            <w:shd w:fill="FFFFFF" w:color="auto" w:val="clear"/>
          </w:tcPr>
          <w:p>
            <w:pPr>
              <w:spacing w:before="60" w:after="60"/>
            </w:pPr>
            <w:r>
              <w:rPr>
                <w:rFonts w:ascii="Calibri" w:hAnsi="Calibri"/>
                <w:color w:val="333333"/>
                <w:sz w:val="20"/>
              </w:rPr>
              <w:t>The major vision insurance plans — he loves to hate them</w:t>
            </w:r>
          </w:p>
        </w:tc>
      </w:tr>
      <w:tr>
        <w:tc>
          <w:tcPr>
            <w:tcW w:type="dxa" w:w="2800"/>
            <w:shd w:fill="EAF6FC" w:color="auto" w:val="clear"/>
          </w:tcPr>
          <w:p>
            <w:pPr>
              <w:spacing w:before="60" w:after="60"/>
            </w:pPr>
            <w:r>
              <w:rPr>
                <w:rFonts w:ascii="Calibri" w:hAnsi="Calibri"/>
                <w:b/>
                <w:color w:val="25AAE1"/>
                <w:sz w:val="20"/>
              </w:rPr>
              <w:t>Frame board</w:t>
            </w:r>
          </w:p>
        </w:tc>
        <w:tc>
          <w:tcPr>
            <w:tcW w:type="dxa" w:w="5700"/>
            <w:shd w:fill="EAF6FC" w:color="auto" w:val="clear"/>
          </w:tcPr>
          <w:p>
            <w:pPr>
              <w:spacing w:before="60" w:after="60"/>
            </w:pPr>
            <w:r>
              <w:rPr>
                <w:rFonts w:ascii="Calibri" w:hAnsi="Calibri"/>
                <w:color w:val="333333"/>
                <w:sz w:val="20"/>
              </w:rPr>
              <w:t>The optical display — his biggest retail variable</w:t>
            </w:r>
          </w:p>
        </w:tc>
      </w:tr>
      <w:tr>
        <w:tc>
          <w:tcPr>
            <w:tcW w:type="dxa" w:w="2800"/>
            <w:shd w:fill="FFFFFF" w:color="auto" w:val="clear"/>
          </w:tcPr>
          <w:p>
            <w:pPr>
              <w:spacing w:before="60" w:after="60"/>
            </w:pPr>
            <w:r>
              <w:rPr>
                <w:rFonts w:ascii="Calibri" w:hAnsi="Calibri"/>
                <w:b/>
                <w:color w:val="25AAE1"/>
                <w:sz w:val="20"/>
              </w:rPr>
              <w:t>New patient mix</w:t>
            </w:r>
          </w:p>
        </w:tc>
        <w:tc>
          <w:tcPr>
            <w:tcW w:type="dxa" w:w="5700"/>
            <w:shd w:fill="FFFFFF" w:color="auto" w:val="clear"/>
          </w:tcPr>
          <w:p>
            <w:pPr>
              <w:spacing w:before="60" w:after="60"/>
            </w:pPr>
            <w:r>
              <w:rPr>
                <w:rFonts w:ascii="Calibri" w:hAnsi="Calibri"/>
                <w:color w:val="333333"/>
                <w:sz w:val="20"/>
              </w:rPr>
              <w:t>The ratio of quality patients to insurance-first patients</w:t>
            </w:r>
          </w:p>
        </w:tc>
      </w:tr>
      <w:tr>
        <w:tc>
          <w:tcPr>
            <w:tcW w:type="dxa" w:w="2800"/>
            <w:shd w:fill="EAF6FC" w:color="auto" w:val="clear"/>
          </w:tcPr>
          <w:p>
            <w:pPr>
              <w:spacing w:before="60" w:after="60"/>
            </w:pPr>
            <w:r>
              <w:rPr>
                <w:rFonts w:ascii="Calibri" w:hAnsi="Calibri"/>
                <w:b/>
                <w:color w:val="25AAE1"/>
                <w:sz w:val="20"/>
              </w:rPr>
              <w:t>LTV / lifetime value</w:t>
            </w:r>
          </w:p>
        </w:tc>
        <w:tc>
          <w:tcPr>
            <w:tcW w:type="dxa" w:w="5700"/>
            <w:shd w:fill="EAF6FC" w:color="auto" w:val="clear"/>
          </w:tcPr>
          <w:p>
            <w:pPr>
              <w:spacing w:before="60" w:after="60"/>
            </w:pPr>
            <w:r>
              <w:rPr>
                <w:rFonts w:ascii="Calibri" w:hAnsi="Calibri"/>
                <w:color w:val="333333"/>
                <w:sz w:val="20"/>
              </w:rPr>
              <w:t>Sam thinks in these terms, especially after being burned by volume</w:t>
            </w:r>
          </w:p>
        </w:tc>
      </w:tr>
    </w:tbl>
    <w:p>
      <w:pPr>
        <w:spacing w:after="120"/>
      </w:pPr>
    </w:p>
    <w:p>
      <w:pPr>
        <w:spacing w:before="240" w:after="80"/>
      </w:pPr>
      <w:r>
        <w:rPr>
          <w:rFonts w:ascii="Calibri" w:hAnsi="Calibri"/>
          <w:b/>
          <w:color w:val="58585A"/>
          <w:sz w:val="28"/>
        </w:rPr>
        <w:t>How Sam Talks About the Problem</w:t>
      </w:r>
    </w:p>
    <w:p>
      <w:pPr>
        <w:pStyle w:val="ListBullet"/>
        <w:spacing w:before="20" w:after="60"/>
      </w:pPr>
      <w:r>
        <w:rPr>
          <w:rFonts w:ascii="Calibri" w:hAnsi="Calibri"/>
          <w:color w:val="333333"/>
          <w:sz w:val="21"/>
        </w:rPr>
        <w:t>“I’m tired of seeing patients who just want the cheapest glasses.”</w:t>
      </w:r>
    </w:p>
    <w:p>
      <w:pPr>
        <w:pStyle w:val="ListBullet"/>
        <w:spacing w:before="20" w:after="60"/>
      </w:pPr>
      <w:r>
        <w:rPr>
          <w:rFonts w:ascii="Calibri" w:hAnsi="Calibri"/>
          <w:color w:val="333333"/>
          <w:sz w:val="21"/>
        </w:rPr>
        <w:t>“My best patients send me referrals — I just can’t figure out how to get more of them.”</w:t>
      </w:r>
    </w:p>
    <w:p>
      <w:pPr>
        <w:pStyle w:val="ListBullet"/>
        <w:spacing w:before="20" w:after="60"/>
      </w:pPr>
      <w:r>
        <w:rPr>
          <w:rFonts w:ascii="Calibri" w:hAnsi="Calibri"/>
          <w:color w:val="333333"/>
          <w:sz w:val="21"/>
        </w:rPr>
        <w:t>“I keep losing optical sales to Warby Parker and Zenni.”</w:t>
      </w:r>
    </w:p>
    <w:p>
      <w:pPr>
        <w:pStyle w:val="ListBullet"/>
        <w:spacing w:before="20" w:after="60"/>
      </w:pPr>
      <w:r>
        <w:rPr>
          <w:rFonts w:ascii="Calibri" w:hAnsi="Calibri"/>
          <w:color w:val="333333"/>
          <w:sz w:val="21"/>
        </w:rPr>
        <w:t>“I want patients who trust my recommendations — not patients who just want to use their benefits.”</w:t>
      </w:r>
    </w:p>
    <w:p>
      <w:pPr>
        <w:pStyle w:val="ListBullet"/>
        <w:spacing w:before="20" w:after="60"/>
      </w:pPr>
      <w:r>
        <w:rPr>
          <w:rFonts w:ascii="Calibri" w:hAnsi="Calibri"/>
          <w:color w:val="333333"/>
          <w:sz w:val="21"/>
        </w:rPr>
        <w:t>“My practice is good. The market just doesn’t see it that way yet.”</w:t>
      </w:r>
    </w:p>
    <w:p>
      <w:pPr>
        <w:pStyle w:val="ListBullet"/>
        <w:spacing w:before="20" w:after="60"/>
      </w:pPr>
      <w:r>
        <w:rPr>
          <w:rFonts w:ascii="Calibri" w:hAnsi="Calibri"/>
          <w:color w:val="333333"/>
          <w:sz w:val="21"/>
        </w:rPr>
        <w:t>“I’ve tried marketing and it just brings in price shoppers.”</w:t>
      </w:r>
    </w:p>
    <w:p>
      <w:pPr>
        <w:pStyle w:val="ListBullet"/>
        <w:spacing w:before="20" w:after="60"/>
      </w:pPr>
      <w:r>
        <w:rPr>
          <w:rFonts w:ascii="Calibri" w:hAnsi="Calibri"/>
          <w:color w:val="333333"/>
          <w:sz w:val="21"/>
        </w:rPr>
        <w:t>“I don’t want to be on social media — I want my work to speak for itself.”</w:t>
      </w:r>
    </w:p>
    <w:p>
      <w:pPr>
        <w:spacing w:before="240" w:after="80"/>
      </w:pPr>
      <w:r>
        <w:rPr>
          <w:rFonts w:ascii="Calibri" w:hAnsi="Calibri"/>
          <w:b/>
          <w:color w:val="58585A"/>
          <w:sz w:val="28"/>
        </w:rPr>
        <w:t>⚠  What Not to Say to Sam</w:t>
      </w:r>
    </w:p>
    <w:p>
      <w:pPr>
        <w:pStyle w:val="ListBullet"/>
        <w:spacing w:before="20" w:after="60"/>
      </w:pPr>
      <w:r>
        <w:rPr>
          <w:rFonts w:ascii="Calibri" w:hAnsi="Calibri"/>
          <w:color w:val="990000"/>
          <w:sz w:val="21"/>
        </w:rPr>
        <w:t>Do NOT lead with “new patient volume” — he wants quality, not quantity</w:t>
      </w:r>
    </w:p>
    <w:p>
      <w:pPr>
        <w:pStyle w:val="ListBullet"/>
        <w:spacing w:before="20" w:after="60"/>
      </w:pPr>
      <w:r>
        <w:rPr>
          <w:rFonts w:ascii="Calibri" w:hAnsi="Calibri"/>
          <w:color w:val="990000"/>
          <w:sz w:val="21"/>
        </w:rPr>
        <w:t>Do NOT use the word “automation” without immediately reframing as patient care systems</w:t>
      </w:r>
    </w:p>
    <w:p>
      <w:pPr>
        <w:pStyle w:val="ListBullet"/>
        <w:spacing w:before="20" w:after="60"/>
      </w:pPr>
      <w:r>
        <w:rPr>
          <w:rFonts w:ascii="Calibri" w:hAnsi="Calibri"/>
          <w:color w:val="990000"/>
          <w:sz w:val="21"/>
        </w:rPr>
        <w:t>Do NOT pitch social media management or content calendars as the lead value</w:t>
      </w:r>
    </w:p>
    <w:p>
      <w:pPr>
        <w:pStyle w:val="ListBullet"/>
        <w:spacing w:before="20" w:after="60"/>
      </w:pPr>
      <w:r>
        <w:rPr>
          <w:rFonts w:ascii="Calibri" w:hAnsi="Calibri"/>
          <w:color w:val="990000"/>
          <w:sz w:val="21"/>
        </w:rPr>
        <w:t>Do NOT lead with clicks, impressions, or website traffic — he has been burned by these metrics</w:t>
      </w:r>
    </w:p>
    <w:p>
      <w:pPr>
        <w:pStyle w:val="ListBullet"/>
        <w:spacing w:before="20" w:after="60"/>
      </w:pPr>
      <w:r>
        <w:rPr>
          <w:rFonts w:ascii="Calibri" w:hAnsi="Calibri"/>
          <w:color w:val="990000"/>
          <w:sz w:val="21"/>
        </w:rPr>
        <w:t>Do NOT compare him to LensCrafters or corporate chains — the comparison offends him</w:t>
      </w:r>
    </w:p>
    <w:p>
      <w:pPr>
        <w:pStyle w:val="ListBullet"/>
        <w:spacing w:before="20" w:after="60"/>
      </w:pPr>
      <w:r>
        <w:rPr>
          <w:rFonts w:ascii="Calibri" w:hAnsi="Calibri"/>
          <w:color w:val="990000"/>
          <w:sz w:val="21"/>
        </w:rPr>
        <w:t>Do NOT pitch follow-up sequences as “lead nurturing” — he is not running a sales funnel; he is a doctor</w:t>
      </w:r>
    </w:p>
    <w:p>
      <w:pPr>
        <w:pStyle w:val="ListBullet"/>
        <w:spacing w:before="20" w:after="60"/>
      </w:pPr>
      <w:r>
        <w:rPr>
          <w:rFonts w:ascii="Calibri" w:hAnsi="Calibri"/>
          <w:color w:val="990000"/>
          <w:sz w:val="21"/>
        </w:rPr>
        <w:t>Do NOT be aggressive or high-pressure — he specifically does not want to feel like he is being sold to</w:t>
      </w:r>
    </w:p>
    <w:p>
      <w:pPr>
        <w:pStyle w:val="ListBullet"/>
        <w:spacing w:before="20" w:after="60"/>
      </w:pPr>
      <w:r>
        <w:rPr>
          <w:rFonts w:ascii="Calibri" w:hAnsi="Calibri"/>
          <w:color w:val="990000"/>
          <w:sz w:val="21"/>
        </w:rPr>
        <w:t>Do NOT use “growth hacking,” “scaling,” or startup-culture language</w:t>
      </w:r>
    </w:p>
    <w:p>
      <w:pPr>
        <w:spacing w:before="0" w:after="0"/>
      </w:pPr>
      <w:r>
        <w:br w:type="page"/>
      </w:r>
    </w:p>
    <w:p>
      <w:pPr>
        <w:spacing w:before="360" w:after="120"/>
        <w:pBdr>
          <w:bottom w:val="single" w:sz="8" w:space="1" w:color="25aae1"/>
        </w:pBdr>
      </w:pPr>
      <w:r>
        <w:rPr>
          <w:rFonts w:ascii="Calibri" w:hAnsi="Calibri"/>
          <w:b/>
          <w:color w:val="25AAE1"/>
          <w:sz w:val="40"/>
        </w:rPr>
        <w:t>DEFINITION OF A WIN</w:t>
      </w:r>
    </w:p>
    <w:p>
      <w:pPr>
        <w:spacing w:before="160" w:after="40"/>
      </w:pPr>
      <w:r>
        <w:rPr>
          <w:rFonts w:ascii="Calibri" w:hAnsi="Calibri"/>
          <w:b/>
          <w:color w:val="25AAE1"/>
          <w:sz w:val="22"/>
        </w:rPr>
        <w:t>3-Month Win</w:t>
      </w:r>
    </w:p>
    <w:p>
      <w:pPr>
        <w:shd w:fill="EAF6FC" w:color="auto" w:val="clear"/>
        <w:pBdr>
          <w:left w:val="single" w:sz="20" w:space="120" w:color="25aae1"/>
        </w:pBdr>
        <w:spacing w:before="120" w:after="120"/>
        <w:ind w:left="216"/>
      </w:pPr>
      <w:r>
        <w:rPr>
          <w:rFonts w:ascii="Calibri" w:hAnsi="Calibri"/>
          <w:color w:val="58585A"/>
          <w:sz w:val="21"/>
        </w:rPr>
        <w:t>Google Business Profile generating 2–3 new quality patient calls/week from condition-specific searches (dry eye, myopia management, specialty contacts). In-office optical conversion rate moves from 52% to 58%+. At least one dry eye case initiated from a patient who read an education asset before calling.</w:t>
      </w:r>
    </w:p>
    <w:p>
      <w:pPr>
        <w:spacing w:before="160" w:after="40"/>
      </w:pPr>
      <w:r>
        <w:rPr>
          <w:rFonts w:ascii="Calibri" w:hAnsi="Calibri"/>
          <w:b/>
          <w:color w:val="25AAE1"/>
          <w:sz w:val="22"/>
        </w:rPr>
        <w:t>6-Month Win</w:t>
      </w:r>
    </w:p>
    <w:p>
      <w:pPr>
        <w:shd w:fill="EAF6FC" w:color="auto" w:val="clear"/>
        <w:pBdr>
          <w:left w:val="single" w:sz="20" w:space="120" w:color="25aae1"/>
        </w:pBdr>
        <w:spacing w:before="120" w:after="120"/>
        <w:ind w:left="216"/>
      </w:pPr>
      <w:r>
        <w:rPr>
          <w:rFonts w:ascii="Calibri" w:hAnsi="Calibri"/>
          <w:color w:val="58585A"/>
          <w:sz w:val="21"/>
        </w:rPr>
        <w:t>Referral volume from existing patients up measurably. 1–2 myopia management enrollments per month. At least one insurance plan Sam has been considering dropping — he now has enough quality patient volume to make the decision confidently. Front desk reporting that new patients frequently say “I heard you’re the best for [specific thing].”</w:t>
      </w:r>
    </w:p>
    <w:p>
      <w:pPr>
        <w:spacing w:before="160" w:after="40"/>
      </w:pPr>
      <w:r>
        <w:rPr>
          <w:rFonts w:ascii="Calibri" w:hAnsi="Calibri"/>
          <w:b/>
          <w:color w:val="25AAE1"/>
          <w:sz w:val="22"/>
        </w:rPr>
        <w:t>12-Month Win</w:t>
      </w:r>
    </w:p>
    <w:p>
      <w:pPr>
        <w:shd w:fill="EAF6FC" w:color="auto" w:val="clear"/>
        <w:pBdr>
          <w:left w:val="single" w:sz="20" w:space="120" w:color="25aae1"/>
        </w:pBdr>
        <w:spacing w:before="120" w:after="120"/>
        <w:ind w:left="216"/>
      </w:pPr>
      <w:r>
        <w:rPr>
          <w:rFonts w:ascii="Calibri" w:hAnsi="Calibri"/>
          <w:color w:val="58585A"/>
          <w:sz w:val="21"/>
        </w:rPr>
        <w:t>Sam works 4 days/week. Gross collections up 15–25% on the same or fewer exams. In-office optical capture rate at 68%+. Dry eye cases represent 12%+ of revenue. His practice has a specific thing it is known for in his community. New patients arrive having already researched him, already trusting him, already planning to buy their optical there. He turns away one insurance plan without anxiety.</w:t>
      </w:r>
    </w:p>
    <w:p>
      <w:pPr>
        <w:spacing w:before="240" w:after="80"/>
      </w:pPr>
      <w:r>
        <w:rPr>
          <w:rFonts w:ascii="Calibri" w:hAnsi="Calibri"/>
          <w:b/>
          <w:color w:val="58585A"/>
          <w:sz w:val="28"/>
        </w:rPr>
        <w:t>The Moment Sam Knew It Worked</w:t>
      </w:r>
    </w:p>
    <w:p>
      <w:pPr>
        <w:spacing w:before="0" w:after="80"/>
      </w:pPr>
      <w:r>
        <w:rPr>
          <w:rFonts w:ascii="Calibri" w:hAnsi="Calibri"/>
          <w:color w:val="333333"/>
          <w:sz w:val="21"/>
        </w:rPr>
        <w:t>A new patient calls and says: “I’ve been dealing with dry eye for two years. Three different doctors gave me artificial tears. Someone in my neighborhood Facebook group said you actually treat the cause — that you’re the person to see for this. I want to come in. I’m ready to do whatever it takes.”</w:t>
      </w:r>
    </w:p>
    <w:p>
      <w:pPr>
        <w:shd w:fill="EAF6FC" w:color="auto" w:val="clear"/>
        <w:pBdr>
          <w:left w:val="single" w:sz="20" w:space="120" w:color="25aae1"/>
        </w:pBdr>
        <w:spacing w:before="120" w:after="120"/>
        <w:ind w:left="216"/>
      </w:pPr>
      <w:r>
        <w:rPr>
          <w:rFonts w:ascii="Calibri" w:hAnsi="Calibri"/>
          <w:color w:val="58585A"/>
          <w:sz w:val="21"/>
        </w:rPr>
        <w:t>That call is the system working. She didn’t compare prices. She didn’t ask about insurance first. She arrived pre-sold and pre-qualified. Sam did 90 minutes of clinical work. He collected $1,400. She referred her husband the next month.</w:t>
      </w:r>
    </w:p>
    <w:p>
      <w:pPr>
        <w:spacing w:before="0" w:after="0"/>
      </w:pPr>
      <w:r>
        <w:br w:type="page"/>
      </w:r>
    </w:p>
    <w:p>
      <w:pPr>
        <w:spacing w:before="360" w:after="120"/>
        <w:pBdr>
          <w:bottom w:val="single" w:sz="8" w:space="1" w:color="25aae1"/>
        </w:pBdr>
      </w:pPr>
      <w:r>
        <w:rPr>
          <w:rFonts w:ascii="Calibri" w:hAnsi="Calibri"/>
          <w:b/>
          <w:color w:val="25AAE1"/>
          <w:sz w:val="40"/>
        </w:rPr>
        <w:t>SECONDARY AVATAR — “SPECIALTY-PIVOT SOPHIA”</w:t>
      </w:r>
    </w:p>
    <w:p>
      <w:pPr>
        <w:shd w:fill="EAF6FC" w:color="auto" w:val="clear"/>
        <w:pBdr>
          <w:left w:val="single" w:sz="20" w:space="120" w:color="25aae1"/>
        </w:pBdr>
        <w:spacing w:before="120" w:after="120"/>
        <w:ind w:left="216"/>
      </w:pPr>
      <w:r>
        <w:rPr>
          <w:rFonts w:ascii="Calibri" w:hAnsi="Calibri"/>
          <w:color w:val="58585A"/>
          <w:sz w:val="21"/>
        </w:rPr>
        <w:t>She’s done building a general practice. She wants to build a specialty-driven one.</w:t>
      </w:r>
    </w:p>
    <w:tbl>
      <w:tblPr>
        <w:tblStyle w:val="TableGrid"/>
        <w:tblW w:type="auto" w:w="0"/>
        <w:tblLook w:firstColumn="1" w:firstRow="1" w:lastColumn="0" w:lastRow="0" w:noHBand="0" w:noVBand="1" w:val="04A0"/>
      </w:tblPr>
      <w:tblGrid>
        <w:gridCol w:w="4320"/>
        <w:gridCol w:w="4320"/>
      </w:tblGrid>
      <w:tr>
        <w:tc>
          <w:tcPr>
            <w:tcW w:type="dxa" w:w="3000"/>
            <w:shd w:fill="EAF6FC" w:color="auto" w:val="clear"/>
          </w:tcPr>
          <w:p>
            <w:pPr>
              <w:spacing w:before="60" w:after="60"/>
            </w:pPr>
            <w:r>
              <w:rPr>
                <w:rFonts w:ascii="Calibri" w:hAnsi="Calibri"/>
                <w:b/>
                <w:color w:val="25AAE1"/>
                <w:sz w:val="20"/>
              </w:rPr>
              <w:t>Avatar Name</w:t>
            </w:r>
          </w:p>
        </w:tc>
        <w:tc>
          <w:tcPr>
            <w:tcW w:type="dxa" w:w="5500"/>
            <w:shd w:fill="EAF6FC" w:color="auto" w:val="clear"/>
          </w:tcPr>
          <w:p>
            <w:pPr>
              <w:spacing w:before="60" w:after="60"/>
            </w:pPr>
            <w:r>
              <w:rPr>
                <w:rFonts w:ascii="Calibri" w:hAnsi="Calibri"/>
                <w:color w:val="333333"/>
                <w:sz w:val="20"/>
              </w:rPr>
              <w:t>Specialty-Pivot Sophia</w:t>
            </w:r>
          </w:p>
        </w:tc>
      </w:tr>
      <w:tr>
        <w:tc>
          <w:tcPr>
            <w:tcW w:type="dxa" w:w="3000"/>
            <w:shd w:fill="FFFFFF" w:color="auto" w:val="clear"/>
          </w:tcPr>
          <w:p>
            <w:pPr>
              <w:spacing w:before="60" w:after="60"/>
            </w:pPr>
            <w:r>
              <w:rPr>
                <w:rFonts w:ascii="Calibri" w:hAnsi="Calibri"/>
                <w:b/>
                <w:color w:val="25AAE1"/>
                <w:sz w:val="20"/>
              </w:rPr>
              <w:t>Age Range</w:t>
            </w:r>
          </w:p>
        </w:tc>
        <w:tc>
          <w:tcPr>
            <w:tcW w:type="dxa" w:w="5500"/>
            <w:shd w:fill="FFFFFF" w:color="auto" w:val="clear"/>
          </w:tcPr>
          <w:p>
            <w:pPr>
              <w:spacing w:before="60" w:after="60"/>
            </w:pPr>
            <w:r>
              <w:rPr>
                <w:rFonts w:ascii="Calibri" w:hAnsi="Calibri"/>
                <w:color w:val="333333"/>
                <w:sz w:val="20"/>
              </w:rPr>
              <w:t>32–48</w:t>
            </w:r>
          </w:p>
        </w:tc>
      </w:tr>
      <w:tr>
        <w:tc>
          <w:tcPr>
            <w:tcW w:type="dxa" w:w="3000"/>
            <w:shd w:fill="EAF6FC" w:color="auto" w:val="clear"/>
          </w:tcPr>
          <w:p>
            <w:pPr>
              <w:spacing w:before="60" w:after="60"/>
            </w:pPr>
            <w:r>
              <w:rPr>
                <w:rFonts w:ascii="Calibri" w:hAnsi="Calibri"/>
                <w:b/>
                <w:color w:val="25AAE1"/>
                <w:sz w:val="20"/>
              </w:rPr>
              <w:t>Gender Skew</w:t>
            </w:r>
          </w:p>
        </w:tc>
        <w:tc>
          <w:tcPr>
            <w:tcW w:type="dxa" w:w="5500"/>
            <w:shd w:fill="EAF6FC" w:color="auto" w:val="clear"/>
          </w:tcPr>
          <w:p>
            <w:pPr>
              <w:spacing w:before="60" w:after="60"/>
            </w:pPr>
            <w:r>
              <w:rPr>
                <w:rFonts w:ascii="Calibri" w:hAnsi="Calibri"/>
                <w:color w:val="333333"/>
                <w:sz w:val="20"/>
              </w:rPr>
              <w:t>Majority female — newer OD, specialty-trained or specialty-curious</w:t>
            </w:r>
          </w:p>
        </w:tc>
      </w:tr>
      <w:tr>
        <w:tc>
          <w:tcPr>
            <w:tcW w:type="dxa" w:w="3000"/>
            <w:shd w:fill="FFFFFF" w:color="auto" w:val="clear"/>
          </w:tcPr>
          <w:p>
            <w:pPr>
              <w:spacing w:before="60" w:after="60"/>
            </w:pPr>
            <w:r>
              <w:rPr>
                <w:rFonts w:ascii="Calibri" w:hAnsi="Calibri"/>
                <w:b/>
                <w:color w:val="25AAE1"/>
                <w:sz w:val="20"/>
              </w:rPr>
              <w:t>Years in Practice</w:t>
            </w:r>
          </w:p>
        </w:tc>
        <w:tc>
          <w:tcPr>
            <w:tcW w:type="dxa" w:w="5500"/>
            <w:shd w:fill="FFFFFF" w:color="auto" w:val="clear"/>
          </w:tcPr>
          <w:p>
            <w:pPr>
              <w:spacing w:before="60" w:after="60"/>
            </w:pPr>
            <w:r>
              <w:rPr>
                <w:rFonts w:ascii="Calibri" w:hAnsi="Calibri"/>
                <w:color w:val="333333"/>
                <w:sz w:val="20"/>
              </w:rPr>
              <w:t>5–15 years</w:t>
            </w:r>
          </w:p>
        </w:tc>
      </w:tr>
      <w:tr>
        <w:tc>
          <w:tcPr>
            <w:tcW w:type="dxa" w:w="3000"/>
            <w:shd w:fill="EAF6FC" w:color="auto" w:val="clear"/>
          </w:tcPr>
          <w:p>
            <w:pPr>
              <w:spacing w:before="60" w:after="60"/>
            </w:pPr>
            <w:r>
              <w:rPr>
                <w:rFonts w:ascii="Calibri" w:hAnsi="Calibri"/>
                <w:b/>
                <w:color w:val="25AAE1"/>
                <w:sz w:val="20"/>
              </w:rPr>
              <w:t>Primary Service</w:t>
            </w:r>
          </w:p>
        </w:tc>
        <w:tc>
          <w:tcPr>
            <w:tcW w:type="dxa" w:w="5500"/>
            <w:shd w:fill="EAF6FC" w:color="auto" w:val="clear"/>
          </w:tcPr>
          <w:p>
            <w:pPr>
              <w:spacing w:before="60" w:after="60"/>
            </w:pPr>
            <w:r>
              <w:rPr>
                <w:rFonts w:ascii="Calibri" w:hAnsi="Calibri"/>
                <w:color w:val="333333"/>
                <w:sz w:val="20"/>
              </w:rPr>
              <w:t>Dry eye clinic and/or myopia management launch</w:t>
            </w:r>
          </w:p>
        </w:tc>
      </w:tr>
    </w:tbl>
    <w:p>
      <w:pPr>
        <w:spacing w:after="120"/>
      </w:pPr>
    </w:p>
    <w:p>
      <w:pPr>
        <w:spacing w:before="240" w:after="80"/>
      </w:pPr>
      <w:r>
        <w:rPr>
          <w:rFonts w:ascii="Calibri" w:hAnsi="Calibri"/>
          <w:b/>
          <w:color w:val="58585A"/>
          <w:sz w:val="28"/>
        </w:rPr>
        <w:t>Current Situation</w:t>
      </w:r>
    </w:p>
    <w:p>
      <w:pPr>
        <w:spacing w:before="0" w:after="120"/>
      </w:pPr>
      <w:r>
        <w:rPr>
          <w:rFonts w:ascii="Calibri" w:hAnsi="Calibri"/>
          <w:color w:val="333333"/>
          <w:sz w:val="21"/>
        </w:rPr>
        <w:t>Sophia completed CE training in dry eye disease management or myopia control, invested in the diagnostic equipment (LipiFlow, OCULUS Keratograph, corneal topographer), and launched a specialty service. Six months in, she has a functional protocol but her patient pipeline doesn’t know it exists. She’s seeing 2–3 dry eye cases per month when she needs 8–10 to cover the equipment investment and justify the overhead.</w:t>
      </w:r>
    </w:p>
    <w:p>
      <w:pPr>
        <w:shd w:fill="EAF6FC" w:color="auto" w:val="clear"/>
        <w:pBdr>
          <w:left w:val="single" w:sz="20" w:space="120" w:color="25aae1"/>
        </w:pBdr>
        <w:spacing w:before="120" w:after="120"/>
        <w:ind w:left="216"/>
      </w:pPr>
      <w:r>
        <w:rPr>
          <w:rFonts w:ascii="Calibri" w:hAnsi="Calibri"/>
          <w:color w:val="58585A"/>
          <w:sz w:val="21"/>
        </w:rPr>
        <w:t>The problem is not clinical readiness — it’s that her market doesn’t know to seek her out for it.</w:t>
      </w:r>
    </w:p>
    <w:p>
      <w:pPr>
        <w:spacing w:before="240" w:after="80"/>
      </w:pPr>
      <w:r>
        <w:rPr>
          <w:rFonts w:ascii="Calibri" w:hAnsi="Calibri"/>
          <w:b/>
          <w:color w:val="58585A"/>
          <w:sz w:val="28"/>
        </w:rPr>
        <w:t>Primary Motivations</w:t>
      </w:r>
    </w:p>
    <w:p>
      <w:pPr>
        <w:pStyle w:val="ListBullet"/>
        <w:spacing w:before="20" w:after="60"/>
      </w:pPr>
      <w:r>
        <w:rPr>
          <w:rFonts w:ascii="Calibri" w:hAnsi="Calibri"/>
          <w:color w:val="333333"/>
          <w:sz w:val="21"/>
        </w:rPr>
        <w:t>Make the specialty equipment investment pay back within 18–24 months</w:t>
      </w:r>
    </w:p>
    <w:p>
      <w:pPr>
        <w:pStyle w:val="ListBullet"/>
        <w:spacing w:before="20" w:after="60"/>
      </w:pPr>
      <w:r>
        <w:rPr>
          <w:rFonts w:ascii="Calibri" w:hAnsi="Calibri"/>
          <w:color w:val="333333"/>
          <w:sz w:val="21"/>
        </w:rPr>
        <w:t>Build a reputation as the dry eye or myopia management specialist in her market — not just an OD who “also does that”</w:t>
      </w:r>
    </w:p>
    <w:p>
      <w:pPr>
        <w:pStyle w:val="ListBullet"/>
        <w:spacing w:before="20" w:after="60"/>
      </w:pPr>
      <w:r>
        <w:rPr>
          <w:rFonts w:ascii="Calibri" w:hAnsi="Calibri"/>
          <w:color w:val="333333"/>
          <w:sz w:val="21"/>
        </w:rPr>
        <w:t>Exit the commodity exam model and build a practice where clinical skill is the differentiator</w:t>
      </w:r>
    </w:p>
    <w:p>
      <w:pPr>
        <w:pStyle w:val="ListBullet"/>
        <w:spacing w:before="20" w:after="60"/>
      </w:pPr>
      <w:r>
        <w:rPr>
          <w:rFonts w:ascii="Calibri" w:hAnsi="Calibri"/>
          <w:color w:val="333333"/>
          <w:sz w:val="21"/>
        </w:rPr>
        <w:t>Create a referral pipeline from ophthalmologists, PCPs, and pediatricians for specialty cases</w:t>
      </w:r>
    </w:p>
    <w:p>
      <w:pPr>
        <w:pStyle w:val="ListBullet"/>
        <w:spacing w:before="20" w:after="60"/>
      </w:pPr>
      <w:r>
        <w:rPr>
          <w:rFonts w:ascii="Calibri" w:hAnsi="Calibri"/>
          <w:color w:val="333333"/>
          <w:sz w:val="21"/>
        </w:rPr>
        <w:t>Attract motivated patients willing to invest in their vision — not just use their benefits</w:t>
      </w:r>
    </w:p>
    <w:p>
      <w:pPr>
        <w:spacing w:before="240" w:after="80"/>
      </w:pPr>
      <w:r>
        <w:rPr>
          <w:rFonts w:ascii="Calibri" w:hAnsi="Calibri"/>
          <w:b/>
          <w:color w:val="58585A"/>
          <w:sz w:val="28"/>
        </w:rPr>
        <w:t>Key Differences from Selective Sam</w:t>
      </w:r>
    </w:p>
    <w:tbl>
      <w:tblPr>
        <w:tblStyle w:val="TableGrid"/>
        <w:tblW w:type="auto" w:w="0"/>
        <w:tblLook w:firstColumn="1" w:firstRow="1" w:lastColumn="0" w:lastRow="0" w:noHBand="0" w:noVBand="1" w:val="04A0"/>
      </w:tblPr>
      <w:tblGrid>
        <w:gridCol w:w="4320"/>
        <w:gridCol w:w="4320"/>
      </w:tblGrid>
      <w:tr>
        <w:tc>
          <w:tcPr>
            <w:tcW w:type="dxa" w:w="3000"/>
            <w:shd w:fill="EAF6FC" w:color="auto" w:val="clear"/>
          </w:tcPr>
          <w:p>
            <w:pPr>
              <w:spacing w:before="60" w:after="60"/>
            </w:pPr>
            <w:r>
              <w:rPr>
                <w:rFonts w:ascii="Calibri" w:hAnsi="Calibri"/>
                <w:b/>
                <w:color w:val="25AAE1"/>
                <w:sz w:val="20"/>
              </w:rPr>
              <w:t>Digital comfort</w:t>
            </w:r>
          </w:p>
        </w:tc>
        <w:tc>
          <w:tcPr>
            <w:tcW w:type="dxa" w:w="5500"/>
            <w:shd w:fill="EAF6FC" w:color="auto" w:val="clear"/>
          </w:tcPr>
          <w:p>
            <w:pPr>
              <w:spacing w:before="60" w:after="60"/>
            </w:pPr>
            <w:r>
              <w:rPr>
                <w:rFonts w:ascii="Calibri" w:hAnsi="Calibri"/>
                <w:color w:val="333333"/>
                <w:sz w:val="20"/>
              </w:rPr>
              <w:t>More comfortable with content and digital channels — grew up in the social media era</w:t>
            </w:r>
          </w:p>
        </w:tc>
      </w:tr>
      <w:tr>
        <w:tc>
          <w:tcPr>
            <w:tcW w:type="dxa" w:w="3000"/>
            <w:shd w:fill="FFFFFF" w:color="auto" w:val="clear"/>
          </w:tcPr>
          <w:p>
            <w:pPr>
              <w:spacing w:before="60" w:after="60"/>
            </w:pPr>
            <w:r>
              <w:rPr>
                <w:rFonts w:ascii="Calibri" w:hAnsi="Calibri"/>
                <w:b/>
                <w:color w:val="25AAE1"/>
                <w:sz w:val="20"/>
              </w:rPr>
              <w:t>Marketing jadedness</w:t>
            </w:r>
          </w:p>
        </w:tc>
        <w:tc>
          <w:tcPr>
            <w:tcW w:type="dxa" w:w="5500"/>
            <w:shd w:fill="FFFFFF" w:color="auto" w:val="clear"/>
          </w:tcPr>
          <w:p>
            <w:pPr>
              <w:spacing w:before="60" w:after="60"/>
            </w:pPr>
            <w:r>
              <w:rPr>
                <w:rFonts w:ascii="Calibri" w:hAnsi="Calibri"/>
                <w:color w:val="333333"/>
                <w:sz w:val="20"/>
              </w:rPr>
              <w:t>Less jaded about marketing — has not been burned as many times yet</w:t>
            </w:r>
          </w:p>
        </w:tc>
      </w:tr>
      <w:tr>
        <w:tc>
          <w:tcPr>
            <w:tcW w:type="dxa" w:w="3000"/>
            <w:shd w:fill="EAF6FC" w:color="auto" w:val="clear"/>
          </w:tcPr>
          <w:p>
            <w:pPr>
              <w:spacing w:before="60" w:after="60"/>
            </w:pPr>
            <w:r>
              <w:rPr>
                <w:rFonts w:ascii="Calibri" w:hAnsi="Calibri"/>
                <w:b/>
                <w:color w:val="25AAE1"/>
                <w:sz w:val="20"/>
              </w:rPr>
              <w:t>Focus</w:t>
            </w:r>
          </w:p>
        </w:tc>
        <w:tc>
          <w:tcPr>
            <w:tcW w:type="dxa" w:w="5500"/>
            <w:shd w:fill="EAF6FC" w:color="auto" w:val="clear"/>
          </w:tcPr>
          <w:p>
            <w:pPr>
              <w:spacing w:before="60" w:after="60"/>
            </w:pPr>
            <w:r>
              <w:rPr>
                <w:rFonts w:ascii="Calibri" w:hAnsi="Calibri"/>
                <w:color w:val="333333"/>
                <w:sz w:val="20"/>
              </w:rPr>
              <w:t>Specialty positioning rather than general premium differentiation</w:t>
            </w:r>
          </w:p>
        </w:tc>
      </w:tr>
      <w:tr>
        <w:tc>
          <w:tcPr>
            <w:tcW w:type="dxa" w:w="3000"/>
            <w:shd w:fill="FFFFFF" w:color="auto" w:val="clear"/>
          </w:tcPr>
          <w:p>
            <w:pPr>
              <w:spacing w:before="60" w:after="60"/>
            </w:pPr>
            <w:r>
              <w:rPr>
                <w:rFonts w:ascii="Calibri" w:hAnsi="Calibri"/>
                <w:b/>
                <w:color w:val="25AAE1"/>
                <w:sz w:val="20"/>
              </w:rPr>
              <w:t>Urgency driver</w:t>
            </w:r>
          </w:p>
        </w:tc>
        <w:tc>
          <w:tcPr>
            <w:tcW w:type="dxa" w:w="5500"/>
            <w:shd w:fill="FFFFFF" w:color="auto" w:val="clear"/>
          </w:tcPr>
          <w:p>
            <w:pPr>
              <w:spacing w:before="60" w:after="60"/>
            </w:pPr>
            <w:r>
              <w:rPr>
                <w:rFonts w:ascii="Calibri" w:hAnsi="Calibri"/>
                <w:color w:val="333333"/>
                <w:sz w:val="20"/>
              </w:rPr>
              <w:t>Equipment investment creates urgency — the ROI math is pressing</w:t>
            </w:r>
          </w:p>
        </w:tc>
      </w:tr>
      <w:tr>
        <w:tc>
          <w:tcPr>
            <w:tcW w:type="dxa" w:w="3000"/>
            <w:shd w:fill="EAF6FC" w:color="auto" w:val="clear"/>
          </w:tcPr>
          <w:p>
            <w:pPr>
              <w:spacing w:before="60" w:after="60"/>
            </w:pPr>
            <w:r>
              <w:rPr>
                <w:rFonts w:ascii="Calibri" w:hAnsi="Calibri"/>
                <w:b/>
                <w:color w:val="25AAE1"/>
                <w:sz w:val="20"/>
              </w:rPr>
              <w:t>Network status</w:t>
            </w:r>
          </w:p>
        </w:tc>
        <w:tc>
          <w:tcPr>
            <w:tcW w:type="dxa" w:w="5500"/>
            <w:shd w:fill="EAF6FC" w:color="auto" w:val="clear"/>
          </w:tcPr>
          <w:p>
            <w:pPr>
              <w:spacing w:before="60" w:after="60"/>
            </w:pPr>
            <w:r>
              <w:rPr>
                <w:rFonts w:ascii="Calibri" w:hAnsi="Calibri"/>
                <w:color w:val="333333"/>
                <w:sz w:val="20"/>
              </w:rPr>
              <w:t>Often building a referral network from scratch — less established</w:t>
            </w:r>
          </w:p>
        </w:tc>
      </w:tr>
    </w:tbl>
    <w:p>
      <w:pPr>
        <w:spacing w:after="120"/>
      </w:pPr>
    </w:p>
    <w:p>
      <w:pPr>
        <w:spacing w:before="240" w:after="80"/>
      </w:pPr>
      <w:r>
        <w:rPr>
          <w:rFonts w:ascii="Calibri" w:hAnsi="Calibri"/>
          <w:b/>
          <w:color w:val="58585A"/>
          <w:sz w:val="28"/>
        </w:rPr>
        <w:t>Belief Barriers</w:t>
      </w:r>
    </w:p>
    <w:p>
      <w:pPr>
        <w:spacing w:before="200" w:after="40"/>
        <w:shd w:fill="25aae1" w:color="auto" w:val="clear"/>
      </w:pPr>
      <w:r>
        <w:rPr>
          <w:rFonts w:ascii="Calibri" w:hAnsi="Calibri"/>
          <w:b/>
          <w:color w:val="FFFFFF"/>
          <w:sz w:val="16"/>
        </w:rPr>
        <w:t xml:space="preserve">  Primary Enemy Belief  </w:t>
      </w:r>
    </w:p>
    <w:p>
      <w:pPr>
        <w:spacing w:before="40" w:after="60"/>
      </w:pPr>
      <w:r>
        <w:rPr>
          <w:rFonts w:ascii="Calibri" w:hAnsi="Calibri"/>
          <w:b/>
          <w:i/>
          <w:color w:val="58585A"/>
          <w:sz w:val="22"/>
        </w:rPr>
        <w:t>“Patients don’t know what dry eye disease management is. I have to educate my whole market from scratch — that takes years.”</w:t>
      </w:r>
    </w:p>
    <w:p>
      <w:pPr>
        <w:spacing w:before="0" w:after="80"/>
      </w:pPr>
      <w:r>
        <w:rPr>
          <w:rFonts w:ascii="Calibri" w:hAnsi="Calibri"/>
          <w:b/>
          <w:color w:val="58585A"/>
          <w:sz w:val="20"/>
        </w:rPr>
        <w:t xml:space="preserve">Why it stalls:  </w:t>
      </w:r>
      <w:r>
        <w:rPr>
          <w:rFonts w:ascii="Calibri" w:hAnsi="Calibri"/>
          <w:color w:val="333333"/>
          <w:sz w:val="20"/>
        </w:rPr>
        <w:t>This belief makes the task feel impossibly large and the timeline impossibly long. It causes Sophia to delay positioning decisions while waiting for the market to “be ready.”</w:t>
      </w:r>
    </w:p>
    <w:p>
      <w:pPr>
        <w:shd w:fill="EAF6FC" w:color="auto" w:val="clear"/>
        <w:pBdr>
          <w:left w:val="single" w:sz="20" w:space="120" w:color="25aae1"/>
        </w:pBdr>
        <w:spacing w:before="120" w:after="120"/>
        <w:ind w:left="216"/>
      </w:pPr>
      <w:r>
        <w:rPr>
          <w:rFonts w:ascii="Calibri" w:hAnsi="Calibri"/>
          <w:color w:val="58585A"/>
          <w:sz w:val="21"/>
        </w:rPr>
        <w:t>Reframe: The market doesn’t need to understand dry eye management before they seek Sophia out. They need to understand their symptoms: tired eyes, burning, fluctuating vision, dependence on drops, discomfort with contact lenses. These symptoms are widely experienced and widely under-treated. Authority content that describes the symptoms and offers a solution intercepts patients at the moment of frustration. They don’t need to know the clinical term before they call.</w:t>
      </w:r>
    </w:p>
    <w:p>
      <w:pPr>
        <w:spacing w:before="200" w:after="40"/>
        <w:shd w:fill="25aae1" w:color="auto" w:val="clear"/>
      </w:pPr>
      <w:r>
        <w:rPr>
          <w:rFonts w:ascii="Calibri" w:hAnsi="Calibri"/>
          <w:b/>
          <w:color w:val="FFFFFF"/>
          <w:sz w:val="16"/>
        </w:rPr>
        <w:t xml:space="preserve">  Secondary Enemy Belief  </w:t>
      </w:r>
    </w:p>
    <w:p>
      <w:pPr>
        <w:spacing w:before="40" w:after="60"/>
      </w:pPr>
      <w:r>
        <w:rPr>
          <w:rFonts w:ascii="Calibri" w:hAnsi="Calibri"/>
          <w:b/>
          <w:i/>
          <w:color w:val="58585A"/>
          <w:sz w:val="22"/>
        </w:rPr>
        <w:t>“I don’t have enough reviews or case studies yet to be seen as a specialist.”</w:t>
      </w:r>
    </w:p>
    <w:p>
      <w:pPr>
        <w:spacing w:before="0" w:after="80"/>
      </w:pPr>
      <w:r>
        <w:rPr>
          <w:rFonts w:ascii="Calibri" w:hAnsi="Calibri"/>
          <w:b/>
          <w:color w:val="58585A"/>
          <w:sz w:val="20"/>
        </w:rPr>
        <w:t xml:space="preserve">Why it stalls:  </w:t>
      </w:r>
      <w:r>
        <w:rPr>
          <w:rFonts w:ascii="Calibri" w:hAnsi="Calibri"/>
          <w:color w:val="333333"/>
          <w:sz w:val="20"/>
        </w:rPr>
        <w:t>Sophia is waiting for permission the market will never give her unprompted. She’s in the same chicken-and-egg trap as every specialist who delayed positioning: she won’t position as a specialist until she has the cases; she won’t get the cases until she positions as a specialist.</w:t>
      </w:r>
    </w:p>
    <w:p>
      <w:pPr>
        <w:shd w:fill="EAF6FC" w:color="auto" w:val="clear"/>
        <w:pBdr>
          <w:left w:val="single" w:sz="20" w:space="120" w:color="25aae1"/>
        </w:pBdr>
        <w:spacing w:before="120" w:after="120"/>
        <w:ind w:left="216"/>
      </w:pPr>
      <w:r>
        <w:rPr>
          <w:rFonts w:ascii="Calibri" w:hAnsi="Calibri"/>
          <w:color w:val="58585A"/>
          <w:sz w:val="21"/>
        </w:rPr>
        <w:t>Reframe: Authority is built forward, not backward. The practices that dominate their niche did not wait until they had 200 cases before positioning themselves. They positioned early and the cases followed. The first 10 dry eye cases Sophia treats with genuine outcomes become the foundation of a patient story library that drives the next 100. Start positioning. Document outcomes. Authority builds as cases build.</w:t>
      </w:r>
    </w:p>
    <w:p>
      <w:pPr>
        <w:spacing w:before="0" w:after="0"/>
      </w:pPr>
      <w:r>
        <w:br w:type="page"/>
      </w:r>
    </w:p>
    <w:p>
      <w:pPr>
        <w:spacing w:before="360" w:after="120"/>
        <w:pBdr>
          <w:bottom w:val="single" w:sz="8" w:space="1" w:color="25aae1"/>
        </w:pBdr>
      </w:pPr>
      <w:r>
        <w:rPr>
          <w:rFonts w:ascii="Calibri" w:hAnsi="Calibri"/>
          <w:b/>
          <w:color w:val="25AAE1"/>
          <w:sz w:val="40"/>
        </w:rPr>
        <w:t>COMPETITIVE LANDSCAPE</w:t>
      </w:r>
    </w:p>
    <w:p>
      <w:pPr>
        <w:spacing w:before="0" w:after="160"/>
      </w:pPr>
      <w:r>
        <w:rPr>
          <w:rFonts w:ascii="Calibri" w:hAnsi="Calibri"/>
          <w:color w:val="333333"/>
          <w:sz w:val="21"/>
        </w:rPr>
        <w:t>Understanding the competitive context shapes both the positioning strategy and the sales conversation. The opportunity is not contested. It is simply unclaimed.</w:t>
      </w:r>
    </w:p>
    <w:p>
      <w:pPr>
        <w:spacing w:before="240" w:after="80"/>
      </w:pPr>
      <w:r>
        <w:rPr>
          <w:rFonts w:ascii="Calibri" w:hAnsi="Calibri"/>
          <w:b/>
          <w:color w:val="58585A"/>
          <w:sz w:val="28"/>
        </w:rPr>
        <w:t>Competitor Weaknesses</w:t>
      </w:r>
    </w:p>
    <w:p>
      <w:pPr>
        <w:pStyle w:val="ListBullet"/>
        <w:spacing w:before="20" w:after="60"/>
      </w:pPr>
      <w:r>
        <w:rPr>
          <w:rFonts w:ascii="Calibri" w:hAnsi="Calibri"/>
          <w:color w:val="333333"/>
          <w:sz w:val="21"/>
        </w:rPr>
        <w:t>Corporate chains (LensCrafters, Visionworks, MyEyeDr, Walmart Vision) market on price, convenience, and insurance acceptance — not clinical expertise. Premium patients who value expertise actively distrust corporate feel.</w:t>
      </w:r>
    </w:p>
    <w:p>
      <w:pPr>
        <w:pStyle w:val="ListBullet"/>
        <w:spacing w:before="20" w:after="60"/>
      </w:pPr>
      <w:r>
        <w:rPr>
          <w:rFonts w:ascii="Calibri" w:hAnsi="Calibri"/>
          <w:color w:val="333333"/>
          <w:sz w:val="21"/>
        </w:rPr>
        <w:t>Online retailers (Warby Parker, Zenni) have taken optical retail share — but cannot replicate clinical care, specialty services, or trusted professional relationships.</w:t>
      </w:r>
    </w:p>
    <w:p>
      <w:pPr>
        <w:pStyle w:val="ListBullet"/>
        <w:spacing w:before="20" w:after="60"/>
      </w:pPr>
      <w:r>
        <w:rPr>
          <w:rFonts w:ascii="Calibri" w:hAnsi="Calibri"/>
          <w:color w:val="333333"/>
          <w:sz w:val="21"/>
        </w:rPr>
        <w:t>The typical independent OD has a generic website, no educational content presence, and fewer than 30 Google reviews.</w:t>
      </w:r>
    </w:p>
    <w:p>
      <w:pPr>
        <w:pStyle w:val="ListBullet"/>
        <w:spacing w:before="20" w:after="60"/>
      </w:pPr>
      <w:r>
        <w:rPr>
          <w:rFonts w:ascii="Calibri" w:hAnsi="Calibri"/>
          <w:color w:val="333333"/>
          <w:sz w:val="21"/>
        </w:rPr>
        <w:t>Ophthalmology practices rarely compete for routine vision care and optical retail — they occupy a different lane and don’t typically build consumer-facing authority content.</w:t>
      </w:r>
    </w:p>
    <w:p>
      <w:pPr>
        <w:pStyle w:val="ListBullet"/>
        <w:spacing w:before="20" w:after="60"/>
      </w:pPr>
      <w:r>
        <w:rPr>
          <w:rFonts w:ascii="Calibri" w:hAnsi="Calibri"/>
          <w:color w:val="333333"/>
          <w:sz w:val="21"/>
        </w:rPr>
        <w:t>Almost no independent OD has positioned themselves as the recognized authority for a specific condition or service type.</w:t>
      </w:r>
    </w:p>
    <w:p>
      <w:pPr>
        <w:pStyle w:val="ListBullet"/>
        <w:spacing w:before="20" w:after="60"/>
      </w:pPr>
      <w:r>
        <w:rPr>
          <w:rFonts w:ascii="Calibri" w:hAnsi="Calibri"/>
          <w:color w:val="333333"/>
          <w:sz w:val="21"/>
        </w:rPr>
        <w:t>Most OD marketing, where it exists, drives exam volume — not a specific patient profile.</w:t>
      </w:r>
    </w:p>
    <w:p>
      <w:pPr>
        <w:spacing w:before="240" w:after="80"/>
      </w:pPr>
      <w:r>
        <w:rPr>
          <w:rFonts w:ascii="Calibri" w:hAnsi="Calibri"/>
          <w:b/>
          <w:color w:val="58585A"/>
          <w:sz w:val="28"/>
        </w:rPr>
        <w:t>Open Authority Positions (Available in Most Markets)</w:t>
      </w:r>
    </w:p>
    <w:p>
      <w:pPr>
        <w:pStyle w:val="ListBullet"/>
        <w:spacing w:before="20" w:after="60"/>
      </w:pPr>
      <w:r>
        <w:rPr>
          <w:rFonts w:ascii="Calibri" w:hAnsi="Calibri"/>
          <w:color w:val="333333"/>
          <w:sz w:val="21"/>
        </w:rPr>
        <w:t>“Dry eye specialist [city]” — almost universally uncontested as an authority position in small and mid-sized markets</w:t>
      </w:r>
    </w:p>
    <w:p>
      <w:pPr>
        <w:pStyle w:val="ListBullet"/>
        <w:spacing w:before="20" w:after="60"/>
      </w:pPr>
      <w:r>
        <w:rPr>
          <w:rFonts w:ascii="Calibri" w:hAnsi="Calibri"/>
          <w:color w:val="333333"/>
          <w:sz w:val="21"/>
        </w:rPr>
        <w:t>“Myopia management [city]” and “children’s vision [city]” — growing search categories with no dominant independent OD voice in most markets</w:t>
      </w:r>
    </w:p>
    <w:p>
      <w:pPr>
        <w:pStyle w:val="ListBullet"/>
        <w:spacing w:before="20" w:after="60"/>
      </w:pPr>
      <w:r>
        <w:rPr>
          <w:rFonts w:ascii="Calibri" w:hAnsi="Calibri"/>
          <w:color w:val="333333"/>
          <w:sz w:val="21"/>
        </w:rPr>
        <w:t>The moment between symptom awareness and care-seeking — almost entirely unaddressed by any local OD content</w:t>
      </w:r>
    </w:p>
    <w:p>
      <w:pPr>
        <w:pStyle w:val="ListBullet"/>
        <w:spacing w:before="20" w:after="60"/>
      </w:pPr>
      <w:r>
        <w:rPr>
          <w:rFonts w:ascii="Calibri" w:hAnsi="Calibri"/>
          <w:color w:val="333333"/>
          <w:sz w:val="21"/>
        </w:rPr>
        <w:t>Google Business Profile reviews for specialty services — all reviews are generic; condition-specific social proof is nearly always absent</w:t>
      </w:r>
    </w:p>
    <w:p>
      <w:pPr>
        <w:pStyle w:val="ListBullet"/>
        <w:spacing w:before="20" w:after="60"/>
      </w:pPr>
      <w:r>
        <w:rPr>
          <w:rFonts w:ascii="Calibri" w:hAnsi="Calibri"/>
          <w:color w:val="333333"/>
          <w:sz w:val="21"/>
        </w:rPr>
        <w:t>Medical provider referral relationships — almost universally underdeveloped</w:t>
      </w:r>
    </w:p>
    <w:p>
      <w:pPr>
        <w:spacing w:before="0" w:after="0"/>
      </w:pPr>
      <w:r>
        <w:br w:type="page"/>
      </w:r>
    </w:p>
    <w:p>
      <w:pPr>
        <w:spacing w:before="360" w:after="120"/>
        <w:pBdr>
          <w:bottom w:val="single" w:sz="8" w:space="1" w:color="25aae1"/>
        </w:pBdr>
      </w:pPr>
      <w:r>
        <w:rPr>
          <w:rFonts w:ascii="Calibri" w:hAnsi="Calibri"/>
          <w:b/>
          <w:color w:val="25AAE1"/>
          <w:sz w:val="40"/>
        </w:rPr>
        <w:t>TOP 5 FAST CASH PRIORITIES</w:t>
      </w:r>
    </w:p>
    <w:p>
      <w:pPr>
        <w:spacing w:before="0" w:after="160"/>
      </w:pPr>
      <w:r>
        <w:rPr>
          <w:rFonts w:ascii="Calibri" w:hAnsi="Calibri"/>
          <w:color w:val="333333"/>
          <w:sz w:val="21"/>
        </w:rPr>
        <w:t>These five strategies are sequenced for maximum impact with minimum friction. Strategies 1 and 3 can begin in week one. Strategies 4 and 5 build over 60–90 days.</w:t>
      </w:r>
    </w:p>
    <w:p>
      <w:pPr>
        <w:shd w:fill="25aae1" w:color="auto" w:val="clear"/>
        <w:spacing w:before="200" w:after="60"/>
      </w:pPr>
      <w:r>
        <w:rPr>
          <w:rFonts w:ascii="Calibri" w:hAnsi="Calibri"/>
          <w:b/>
          <w:color w:val="FFFFFF"/>
          <w:sz w:val="18"/>
        </w:rPr>
        <w:t xml:space="preserve">  Priority 1  </w:t>
      </w:r>
      <w:r>
        <w:rPr>
          <w:rFonts w:ascii="Calibri" w:hAnsi="Calibri"/>
          <w:b/>
          <w:color w:val="FFFFFF"/>
          <w:sz w:val="22"/>
        </w:rPr>
        <w:t xml:space="preserve">  Reactivate Lapsed Patients + Dry Eye Pre-Diagnosed</w:t>
      </w:r>
    </w:p>
    <w:p>
      <w:pPr>
        <w:spacing w:before="0" w:after="120"/>
      </w:pPr>
      <w:r>
        <w:rPr>
          <w:rFonts w:ascii="Calibri" w:hAnsi="Calibri"/>
          <w:color w:val="333333"/>
          <w:sz w:val="21"/>
        </w:rPr>
        <w:t>Fastest near-zero-cost revenue in the practice. Every independent OD has 300–800 lapsed patients overdue for recall. Additional high-value segment: patients who received a dry eye discussion but never booked treatment. These are pre-diagnosed, pre-interested, and the softest possible sales conversation. A 3-touch reactivation sequence consistently returns 4–8 bookings per 100 contacts. Cost: near zero.</w:t>
      </w:r>
    </w:p>
    <w:p>
      <w:pPr>
        <w:shd w:fill="25aae1" w:color="auto" w:val="clear"/>
        <w:spacing w:before="200" w:after="60"/>
      </w:pPr>
      <w:r>
        <w:rPr>
          <w:rFonts w:ascii="Calibri" w:hAnsi="Calibri"/>
          <w:b/>
          <w:color w:val="FFFFFF"/>
          <w:sz w:val="18"/>
        </w:rPr>
        <w:t xml:space="preserve">  Priority 2  </w:t>
      </w:r>
      <w:r>
        <w:rPr>
          <w:rFonts w:ascii="Calibri" w:hAnsi="Calibri"/>
          <w:b/>
          <w:color w:val="FFFFFF"/>
          <w:sz w:val="22"/>
        </w:rPr>
        <w:t xml:space="preserve">  Pareto the Practice — Sell What Pays</w:t>
      </w:r>
    </w:p>
    <w:p>
      <w:pPr>
        <w:spacing w:before="0" w:after="120"/>
      </w:pPr>
      <w:r>
        <w:rPr>
          <w:rFonts w:ascii="Calibri" w:hAnsi="Calibri"/>
          <w:color w:val="333333"/>
          <w:sz w:val="21"/>
        </w:rPr>
        <w:t>Until Sam sees his per-chair-hour revenue breakdown by service line, he continues allocating his most valuable resource equally across services with dramatically different margin profiles. This analysis is the strategic foundation for every other decision. Premium optical, specialty services, and medical eye care generate 3–5x the per-hour revenue of routine insurance exams.</w:t>
      </w:r>
    </w:p>
    <w:p>
      <w:pPr>
        <w:shd w:fill="25aae1" w:color="auto" w:val="clear"/>
        <w:spacing w:before="200" w:after="60"/>
      </w:pPr>
      <w:r>
        <w:rPr>
          <w:rFonts w:ascii="Calibri" w:hAnsi="Calibri"/>
          <w:b/>
          <w:color w:val="FFFFFF"/>
          <w:sz w:val="18"/>
        </w:rPr>
        <w:t xml:space="preserve">  Priority 3  </w:t>
      </w:r>
      <w:r>
        <w:rPr>
          <w:rFonts w:ascii="Calibri" w:hAnsi="Calibri"/>
          <w:b/>
          <w:color w:val="FFFFFF"/>
          <w:sz w:val="22"/>
        </w:rPr>
        <w:t xml:space="preserve">  In-Office Optical Conversion System</w:t>
      </w:r>
    </w:p>
    <w:p>
      <w:pPr>
        <w:spacing w:before="0" w:after="120"/>
      </w:pPr>
      <w:r>
        <w:rPr>
          <w:rFonts w:ascii="Calibri" w:hAnsi="Calibri"/>
          <w:color w:val="333333"/>
          <w:sz w:val="21"/>
        </w:rPr>
        <w:t>The optical conversation happens after every exam — but most practices leave it to chance. A structured optical consultation process, trained into staff, with clear recommendation language for each lens upgrade category, moves capture rate from 45–55% to 65–75%+ within 30–60 days. At 15 exams/day, 2 more captures = $600–$900 more per day = $150,000+ per year.</w:t>
      </w:r>
    </w:p>
    <w:p>
      <w:pPr>
        <w:shd w:fill="25aae1" w:color="auto" w:val="clear"/>
        <w:spacing w:before="200" w:after="60"/>
      </w:pPr>
      <w:r>
        <w:rPr>
          <w:rFonts w:ascii="Calibri" w:hAnsi="Calibri"/>
          <w:b/>
          <w:color w:val="FFFFFF"/>
          <w:sz w:val="18"/>
        </w:rPr>
        <w:t xml:space="preserve">  Priority 4  </w:t>
      </w:r>
      <w:r>
        <w:rPr>
          <w:rFonts w:ascii="Calibri" w:hAnsi="Calibri"/>
          <w:b/>
          <w:color w:val="FFFFFF"/>
          <w:sz w:val="22"/>
        </w:rPr>
        <w:t xml:space="preserve">  Local SEO for Condition-Specific Searches</w:t>
      </w:r>
    </w:p>
    <w:p>
      <w:pPr>
        <w:spacing w:before="0" w:after="120"/>
      </w:pPr>
      <w:r>
        <w:rPr>
          <w:rFonts w:ascii="Calibri" w:hAnsi="Calibri"/>
          <w:color w:val="333333"/>
          <w:sz w:val="21"/>
        </w:rPr>
        <w:t>“Dry eye specialist [city]” and “myopia management [city]” are high-intent, low-competition, and almost always unowned by any local practice. Owning these search positions produces a fundamentally different patient: someone researching a specific problem who is already motivated to solve it. Google Business Profile optimization for these conditions consistently produces condition-specific patient flow within 60–90 days.</w:t>
      </w:r>
    </w:p>
    <w:p>
      <w:pPr>
        <w:shd w:fill="25aae1" w:color="auto" w:val="clear"/>
        <w:spacing w:before="200" w:after="60"/>
      </w:pPr>
      <w:r>
        <w:rPr>
          <w:rFonts w:ascii="Calibri" w:hAnsi="Calibri"/>
          <w:b/>
          <w:color w:val="FFFFFF"/>
          <w:sz w:val="18"/>
        </w:rPr>
        <w:t xml:space="preserve">  Priority 5  </w:t>
      </w:r>
      <w:r>
        <w:rPr>
          <w:rFonts w:ascii="Calibri" w:hAnsi="Calibri"/>
          <w:b/>
          <w:color w:val="FFFFFF"/>
          <w:sz w:val="22"/>
        </w:rPr>
        <w:t xml:space="preserve">  Specialty Patient Referral + Medical Provider Loop</w:t>
      </w:r>
    </w:p>
    <w:p>
      <w:pPr>
        <w:spacing w:before="0" w:after="120"/>
      </w:pPr>
      <w:r>
        <w:rPr>
          <w:rFonts w:ascii="Calibri" w:hAnsi="Calibri"/>
          <w:color w:val="333333"/>
          <w:sz w:val="21"/>
        </w:rPr>
        <w:t>Every dry eye patient Sam has successfully treated is a referral engine. Most have never been asked. A post-treatment outcome sequence that invites patients to share their experience activates the referral channel that produced Sam’s best patients. Medical provider outreach (PCPs, rheumatologists, endocrinologists, pediatricians) runs in parallel and produces referrals with multi-year LTV.</w:t>
      </w:r>
    </w:p>
    <w:p>
      <w:pPr>
        <w:spacing w:before="0" w:after="0"/>
      </w:pPr>
      <w:r>
        <w:br w:type="page"/>
      </w:r>
    </w:p>
    <w:p>
      <w:pPr>
        <w:spacing w:before="360" w:after="120"/>
        <w:pBdr>
          <w:bottom w:val="single" w:sz="8" w:space="1" w:color="25aae1"/>
        </w:pBdr>
      </w:pPr>
      <w:r>
        <w:rPr>
          <w:rFonts w:ascii="Calibri" w:hAnsi="Calibri"/>
          <w:b/>
          <w:color w:val="25AAE1"/>
          <w:sz w:val="40"/>
        </w:rPr>
        <w:t>CONTENT INTELLIGENCE</w:t>
      </w:r>
    </w:p>
    <w:p>
      <w:pPr>
        <w:shd w:fill="EAF6FC" w:color="auto" w:val="clear"/>
        <w:pBdr>
          <w:left w:val="single" w:sz="20" w:space="120" w:color="25aae1"/>
        </w:pBdr>
        <w:spacing w:before="120" w:after="120"/>
        <w:ind w:left="216"/>
      </w:pPr>
      <w:r>
        <w:rPr>
          <w:rFonts w:ascii="Calibri" w:hAnsi="Calibri"/>
          <w:color w:val="58585A"/>
          <w:sz w:val="21"/>
        </w:rPr>
        <w:t>FRAMING NOTE: All content for this niche is framed as patient education and clinical authority — never as marketing. The OD’s name and expertise are on the content. The content team writes and publishes. The OD approves. Never pitch content as “social media posts” to this avatar — pitch it as “patient education assets that build trust before patients call.”</w:t>
      </w:r>
    </w:p>
    <w:p>
      <w:pPr>
        <w:spacing w:before="240" w:after="80"/>
      </w:pPr>
      <w:r>
        <w:rPr>
          <w:rFonts w:ascii="Calibri" w:hAnsi="Calibri"/>
          <w:b/>
          <w:color w:val="58585A"/>
          <w:sz w:val="28"/>
        </w:rPr>
        <w:t>Authority Themes (Evergreen)</w:t>
      </w:r>
    </w:p>
    <w:p>
      <w:pPr>
        <w:pStyle w:val="ListBullet"/>
        <w:spacing w:before="20" w:after="60"/>
      </w:pPr>
      <w:r>
        <w:rPr>
          <w:rFonts w:ascii="Calibri" w:hAnsi="Calibri"/>
          <w:color w:val="333333"/>
          <w:sz w:val="21"/>
        </w:rPr>
        <w:t>Why your chronic dry eye isn’t going to improve with more eye drops — and what actually treats it</w:t>
      </w:r>
    </w:p>
    <w:p>
      <w:pPr>
        <w:pStyle w:val="ListBullet"/>
        <w:spacing w:before="20" w:after="60"/>
      </w:pPr>
      <w:r>
        <w:rPr>
          <w:rFonts w:ascii="Calibri" w:hAnsi="Calibri"/>
          <w:color w:val="333333"/>
          <w:sz w:val="21"/>
        </w:rPr>
        <w:t>The truth about online eyeglasses: what you’re giving up when you skip the fitting</w:t>
      </w:r>
    </w:p>
    <w:p>
      <w:pPr>
        <w:pStyle w:val="ListBullet"/>
        <w:spacing w:before="20" w:after="60"/>
      </w:pPr>
      <w:r>
        <w:rPr>
          <w:rFonts w:ascii="Calibri" w:hAnsi="Calibri"/>
          <w:color w:val="333333"/>
          <w:sz w:val="21"/>
        </w:rPr>
        <w:t>Why your child’s glasses prescription keeps changing — and what you can do about it</w:t>
      </w:r>
    </w:p>
    <w:p>
      <w:pPr>
        <w:pStyle w:val="ListBullet"/>
        <w:spacing w:before="20" w:after="60"/>
      </w:pPr>
      <w:r>
        <w:rPr>
          <w:rFonts w:ascii="Calibri" w:hAnsi="Calibri"/>
          <w:color w:val="333333"/>
          <w:sz w:val="21"/>
        </w:rPr>
        <w:t>The difference between an eye exam and a comprehensive vision evaluation</w:t>
      </w:r>
    </w:p>
    <w:p>
      <w:pPr>
        <w:pStyle w:val="ListBullet"/>
        <w:spacing w:before="20" w:after="60"/>
      </w:pPr>
      <w:r>
        <w:rPr>
          <w:rFonts w:ascii="Calibri" w:hAnsi="Calibri"/>
          <w:color w:val="333333"/>
          <w:sz w:val="21"/>
        </w:rPr>
        <w:t>3 things your eye doctor learns from your eyes about your overall health</w:t>
      </w:r>
    </w:p>
    <w:p>
      <w:pPr>
        <w:pStyle w:val="ListBullet"/>
        <w:spacing w:before="20" w:after="60"/>
      </w:pPr>
      <w:r>
        <w:rPr>
          <w:rFonts w:ascii="Calibri" w:hAnsi="Calibri"/>
          <w:color w:val="333333"/>
          <w:sz w:val="21"/>
        </w:rPr>
        <w:t>When “my eyes are just tired” is actually a diagnosable condition</w:t>
      </w:r>
    </w:p>
    <w:p>
      <w:pPr>
        <w:pStyle w:val="ListBullet"/>
        <w:spacing w:before="20" w:after="60"/>
      </w:pPr>
      <w:r>
        <w:rPr>
          <w:rFonts w:ascii="Calibri" w:hAnsi="Calibri"/>
          <w:color w:val="333333"/>
          <w:sz w:val="21"/>
        </w:rPr>
        <w:t>What premium progressive lenses actually do differently — a plain-English explanation</w:t>
      </w:r>
    </w:p>
    <w:p>
      <w:pPr>
        <w:pStyle w:val="ListBullet"/>
        <w:spacing w:before="20" w:after="60"/>
      </w:pPr>
      <w:r>
        <w:rPr>
          <w:rFonts w:ascii="Calibri" w:hAnsi="Calibri"/>
          <w:color w:val="333333"/>
          <w:sz w:val="21"/>
        </w:rPr>
        <w:t>Why the cheapest eye exam is often the most expensive decision you’ll make</w:t>
      </w:r>
    </w:p>
    <w:p>
      <w:pPr>
        <w:spacing w:before="240" w:after="80"/>
      </w:pPr>
      <w:r>
        <w:rPr>
          <w:rFonts w:ascii="Calibri" w:hAnsi="Calibri"/>
          <w:b/>
          <w:color w:val="58585A"/>
          <w:sz w:val="28"/>
        </w:rPr>
        <w:t>Social Proof Angles</w:t>
      </w:r>
    </w:p>
    <w:p>
      <w:pPr>
        <w:pStyle w:val="ListBullet"/>
        <w:spacing w:before="20" w:after="60"/>
      </w:pPr>
      <w:r>
        <w:rPr>
          <w:rFonts w:ascii="Calibri" w:hAnsi="Calibri"/>
          <w:color w:val="333333"/>
          <w:sz w:val="21"/>
        </w:rPr>
        <w:t>Patient had been using eye drops every 30 minutes for three years. Now she uses them twice a day — maybe.</w:t>
      </w:r>
    </w:p>
    <w:p>
      <w:pPr>
        <w:pStyle w:val="ListBullet"/>
        <w:spacing w:before="20" w:after="60"/>
      </w:pPr>
      <w:r>
        <w:rPr>
          <w:rFonts w:ascii="Calibri" w:hAnsi="Calibri"/>
          <w:color w:val="333333"/>
          <w:sz w:val="21"/>
        </w:rPr>
        <w:t>Her son’s myopia was progressing fast. Ortho-K stopped it. His prescription barely changed in 18 months.</w:t>
      </w:r>
    </w:p>
    <w:p>
      <w:pPr>
        <w:pStyle w:val="ListBullet"/>
        <w:spacing w:before="20" w:after="60"/>
      </w:pPr>
      <w:r>
        <w:rPr>
          <w:rFonts w:ascii="Calibri" w:hAnsi="Calibri"/>
          <w:color w:val="333333"/>
          <w:sz w:val="21"/>
        </w:rPr>
        <w:t>He bought glasses online twice. Neither pair felt right. One appointment changed that.</w:t>
      </w:r>
    </w:p>
    <w:p>
      <w:pPr>
        <w:pStyle w:val="ListBullet"/>
        <w:spacing w:before="20" w:after="60"/>
      </w:pPr>
      <w:r>
        <w:rPr>
          <w:rFonts w:ascii="Calibri" w:hAnsi="Calibri"/>
          <w:color w:val="333333"/>
          <w:sz w:val="21"/>
        </w:rPr>
        <w:t>She came in expecting another eye exam. She left with a diagnosis and a treatment plan for a condition she’d had for years.</w:t>
      </w:r>
    </w:p>
    <w:p>
      <w:pPr>
        <w:spacing w:before="240" w:after="80"/>
      </w:pPr>
      <w:r>
        <w:rPr>
          <w:rFonts w:ascii="Calibri" w:hAnsi="Calibri"/>
          <w:b/>
          <w:color w:val="58585A"/>
          <w:sz w:val="28"/>
        </w:rPr>
        <w:t>Content Asset Formats (by Patient Journey Stage)</w:t>
      </w:r>
    </w:p>
    <w:tbl>
      <w:tblPr>
        <w:tblStyle w:val="TableGrid"/>
        <w:tblW w:type="auto" w:w="0"/>
        <w:tblLook w:firstColumn="1" w:firstRow="1" w:lastColumn="0" w:lastRow="0" w:noHBand="0" w:noVBand="1" w:val="04A0"/>
      </w:tblPr>
      <w:tblGrid>
        <w:gridCol w:w="4320"/>
        <w:gridCol w:w="4320"/>
      </w:tblGrid>
      <w:tr>
        <w:tc>
          <w:tcPr>
            <w:tcW w:type="dxa" w:w="2400"/>
            <w:shd w:fill="EAF6FC" w:color="auto" w:val="clear"/>
          </w:tcPr>
          <w:p>
            <w:pPr>
              <w:spacing w:before="60" w:after="60"/>
            </w:pPr>
            <w:r>
              <w:rPr>
                <w:rFonts w:ascii="Calibri" w:hAnsi="Calibri"/>
                <w:b/>
                <w:color w:val="25AAE1"/>
                <w:sz w:val="20"/>
              </w:rPr>
              <w:t>Google Business Profile Q&amp;A</w:t>
            </w:r>
          </w:p>
        </w:tc>
        <w:tc>
          <w:tcPr>
            <w:tcW w:type="dxa" w:w="6100"/>
            <w:shd w:fill="EAF6FC" w:color="auto" w:val="clear"/>
          </w:tcPr>
          <w:p>
            <w:pPr>
              <w:spacing w:before="60" w:after="60"/>
            </w:pPr>
            <w:r>
              <w:rPr>
                <w:rFonts w:ascii="Calibri" w:hAnsi="Calibri"/>
                <w:color w:val="333333"/>
                <w:sz w:val="20"/>
              </w:rPr>
              <w:t>Condition-specific answered questions built for local search — dry eye, myopia, specialty lenses</w:t>
            </w:r>
          </w:p>
        </w:tc>
      </w:tr>
      <w:tr>
        <w:tc>
          <w:tcPr>
            <w:tcW w:type="dxa" w:w="2400"/>
            <w:shd w:fill="FFFFFF" w:color="auto" w:val="clear"/>
          </w:tcPr>
          <w:p>
            <w:pPr>
              <w:spacing w:before="60" w:after="60"/>
            </w:pPr>
            <w:r>
              <w:rPr>
                <w:rFonts w:ascii="Calibri" w:hAnsi="Calibri"/>
                <w:b/>
                <w:color w:val="25AAE1"/>
                <w:sz w:val="20"/>
              </w:rPr>
              <w:t>Website — condition pages</w:t>
            </w:r>
          </w:p>
        </w:tc>
        <w:tc>
          <w:tcPr>
            <w:tcW w:type="dxa" w:w="6100"/>
            <w:shd w:fill="FFFFFF" w:color="auto" w:val="clear"/>
          </w:tcPr>
          <w:p>
            <w:pPr>
              <w:spacing w:before="60" w:after="60"/>
            </w:pPr>
            <w:r>
              <w:rPr>
                <w:rFonts w:ascii="Calibri" w:hAnsi="Calibri"/>
                <w:color w:val="333333"/>
                <w:sz w:val="20"/>
              </w:rPr>
              <w:t>Dedicated pages for dry eye and myopia management written to convert a researching patient, not describe a service</w:t>
            </w:r>
          </w:p>
        </w:tc>
      </w:tr>
      <w:tr>
        <w:tc>
          <w:tcPr>
            <w:tcW w:type="dxa" w:w="2400"/>
            <w:shd w:fill="EAF6FC" w:color="auto" w:val="clear"/>
          </w:tcPr>
          <w:p>
            <w:pPr>
              <w:spacing w:before="60" w:after="60"/>
            </w:pPr>
            <w:r>
              <w:rPr>
                <w:rFonts w:ascii="Calibri" w:hAnsi="Calibri"/>
                <w:b/>
                <w:color w:val="25AAE1"/>
                <w:sz w:val="20"/>
              </w:rPr>
              <w:t>Patient education one-pagers</w:t>
            </w:r>
          </w:p>
        </w:tc>
        <w:tc>
          <w:tcPr>
            <w:tcW w:type="dxa" w:w="6100"/>
            <w:shd w:fill="EAF6FC" w:color="auto" w:val="clear"/>
          </w:tcPr>
          <w:p>
            <w:pPr>
              <w:spacing w:before="60" w:after="60"/>
            </w:pPr>
            <w:r>
              <w:rPr>
                <w:rFonts w:ascii="Calibri" w:hAnsi="Calibri"/>
                <w:color w:val="333333"/>
                <w:sz w:val="20"/>
              </w:rPr>
              <w:t>Dry eye self-assessment, myopia risk factors, premium lens guide — in-office and linked from site</w:t>
            </w:r>
          </w:p>
        </w:tc>
      </w:tr>
      <w:tr>
        <w:tc>
          <w:tcPr>
            <w:tcW w:type="dxa" w:w="2400"/>
            <w:shd w:fill="FFFFFF" w:color="auto" w:val="clear"/>
          </w:tcPr>
          <w:p>
            <w:pPr>
              <w:spacing w:before="60" w:after="60"/>
            </w:pPr>
            <w:r>
              <w:rPr>
                <w:rFonts w:ascii="Calibri" w:hAnsi="Calibri"/>
                <w:b/>
                <w:color w:val="25AAE1"/>
                <w:sz w:val="20"/>
              </w:rPr>
              <w:t>Email recall sequences</w:t>
            </w:r>
          </w:p>
        </w:tc>
        <w:tc>
          <w:tcPr>
            <w:tcW w:type="dxa" w:w="6100"/>
            <w:shd w:fill="FFFFFF" w:color="auto" w:val="clear"/>
          </w:tcPr>
          <w:p>
            <w:pPr>
              <w:spacing w:before="60" w:after="60"/>
            </w:pPr>
            <w:r>
              <w:rPr>
                <w:rFonts w:ascii="Calibri" w:hAnsi="Calibri"/>
                <w:color w:val="333333"/>
                <w:sz w:val="20"/>
              </w:rPr>
              <w:t>Condition-specific, clinically relevant, timed to annual recall windows — not generic reminders</w:t>
            </w:r>
          </w:p>
        </w:tc>
      </w:tr>
      <w:tr>
        <w:tc>
          <w:tcPr>
            <w:tcW w:type="dxa" w:w="2400"/>
            <w:shd w:fill="EAF6FC" w:color="auto" w:val="clear"/>
          </w:tcPr>
          <w:p>
            <w:pPr>
              <w:spacing w:before="60" w:after="60"/>
            </w:pPr>
            <w:r>
              <w:rPr>
                <w:rFonts w:ascii="Calibri" w:hAnsi="Calibri"/>
                <w:b/>
                <w:color w:val="25AAE1"/>
                <w:sz w:val="20"/>
              </w:rPr>
              <w:t>Google review responses</w:t>
            </w:r>
          </w:p>
        </w:tc>
        <w:tc>
          <w:tcPr>
            <w:tcW w:type="dxa" w:w="6100"/>
            <w:shd w:fill="EAF6FC" w:color="auto" w:val="clear"/>
          </w:tcPr>
          <w:p>
            <w:pPr>
              <w:spacing w:before="60" w:after="60"/>
            </w:pPr>
            <w:r>
              <w:rPr>
                <w:rFonts w:ascii="Calibri" w:hAnsi="Calibri"/>
                <w:color w:val="333333"/>
                <w:sz w:val="20"/>
              </w:rPr>
              <w:t>Each response reinforces Sam’s clinical expertise and specialty positioning</w:t>
            </w:r>
          </w:p>
        </w:tc>
      </w:tr>
      <w:tr>
        <w:tc>
          <w:tcPr>
            <w:tcW w:type="dxa" w:w="2400"/>
            <w:shd w:fill="FFFFFF" w:color="auto" w:val="clear"/>
          </w:tcPr>
          <w:p>
            <w:pPr>
              <w:spacing w:before="60" w:after="60"/>
            </w:pPr>
            <w:r>
              <w:rPr>
                <w:rFonts w:ascii="Calibri" w:hAnsi="Calibri"/>
                <w:b/>
                <w:color w:val="25AAE1"/>
                <w:sz w:val="20"/>
              </w:rPr>
              <w:t>Medical provider letter</w:t>
            </w:r>
          </w:p>
        </w:tc>
        <w:tc>
          <w:tcPr>
            <w:tcW w:type="dxa" w:w="6100"/>
            <w:shd w:fill="FFFFFF" w:color="auto" w:val="clear"/>
          </w:tcPr>
          <w:p>
            <w:pPr>
              <w:spacing w:before="60" w:after="60"/>
            </w:pPr>
            <w:r>
              <w:rPr>
                <w:rFonts w:ascii="Calibri" w:hAnsi="Calibri"/>
                <w:color w:val="333333"/>
                <w:sz w:val="20"/>
              </w:rPr>
              <w:t>Formal introduction to PCPs, pediatricians, rheumatologists — positions Sam as the referral destination</w:t>
            </w:r>
          </w:p>
        </w:tc>
      </w:tr>
    </w:tbl>
    <w:p>
      <w:pPr>
        <w:spacing w:after="120"/>
      </w:pPr>
    </w:p>
    <w:p>
      <w:pPr>
        <w:spacing w:before="360" w:after="120"/>
        <w:pBdr>
          <w:bottom w:val="single" w:sz="8" w:space="1" w:color="25aae1"/>
        </w:pBdr>
      </w:pPr>
      <w:r>
        <w:rPr>
          <w:rFonts w:ascii="Calibri" w:hAnsi="Calibri"/>
          <w:b/>
          <w:color w:val="25AAE1"/>
          <w:sz w:val="40"/>
        </w:rPr>
        <w:t>COMPLIANCE FLAGS</w:t>
      </w:r>
    </w:p>
    <w:p>
      <w:pPr>
        <w:spacing w:before="0" w:after="120"/>
      </w:pPr>
      <w:r>
        <w:rPr>
          <w:rFonts w:ascii="Calibri" w:hAnsi="Calibri"/>
          <w:color w:val="333333"/>
          <w:sz w:val="21"/>
        </w:rPr>
        <w:t>All content and deliverables for this niche must observe the following:</w:t>
      </w:r>
    </w:p>
    <w:p>
      <w:pPr>
        <w:pStyle w:val="ListBullet"/>
        <w:spacing w:before="20" w:after="60"/>
      </w:pPr>
      <w:r>
        <w:rPr>
          <w:rFonts w:ascii="Calibri" w:hAnsi="Calibri"/>
          <w:color w:val="333333"/>
          <w:sz w:val="21"/>
        </w:rPr>
        <w:t>Cannot guarantee vision outcomes. Use “typically,” “in most cases,” “results vary” framing.</w:t>
      </w:r>
    </w:p>
    <w:p>
      <w:pPr>
        <w:pStyle w:val="ListBullet"/>
        <w:spacing w:before="20" w:after="60"/>
      </w:pPr>
      <w:r>
        <w:rPr>
          <w:rFonts w:ascii="Calibri" w:hAnsi="Calibri"/>
          <w:color w:val="333333"/>
          <w:sz w:val="21"/>
        </w:rPr>
        <w:t>Before/after or outcome descriptions require HIPAA-compliant patient consent and de-identification or explicit written release.</w:t>
      </w:r>
    </w:p>
    <w:p>
      <w:pPr>
        <w:pStyle w:val="ListBullet"/>
        <w:spacing w:before="20" w:after="60"/>
      </w:pPr>
      <w:r>
        <w:rPr>
          <w:rFonts w:ascii="Calibri" w:hAnsi="Calibri"/>
          <w:color w:val="333333"/>
          <w:sz w:val="21"/>
        </w:rPr>
        <w:t>Testimonials must be from real patients who have provided written authorization. No fabricated outcomes.</w:t>
      </w:r>
    </w:p>
    <w:p>
      <w:pPr>
        <w:pStyle w:val="ListBullet"/>
        <w:spacing w:before="20" w:after="60"/>
      </w:pPr>
      <w:r>
        <w:rPr>
          <w:rFonts w:ascii="Calibri" w:hAnsi="Calibri"/>
          <w:color w:val="333333"/>
          <w:sz w:val="21"/>
        </w:rPr>
        <w:t>Advertising as a “specialist” in dry eye or myopia management should be accurate to training. Verify state board rules on specialty designation language.</w:t>
      </w:r>
    </w:p>
    <w:p>
      <w:pPr>
        <w:pStyle w:val="ListBullet"/>
        <w:spacing w:before="20" w:after="60"/>
      </w:pPr>
      <w:r>
        <w:rPr>
          <w:rFonts w:ascii="Calibri" w:hAnsi="Calibri"/>
          <w:color w:val="333333"/>
          <w:sz w:val="21"/>
        </w:rPr>
        <w:t>MiSight (CooperVision) and Ortho-K are FDA-cleared for myopia management — this claim is accurate and approvable. Other lens types for myopia management should be referenced per current FDA guidance.</w:t>
      </w:r>
    </w:p>
    <w:p>
      <w:pPr>
        <w:pStyle w:val="ListBullet"/>
        <w:spacing w:before="20" w:after="60"/>
      </w:pPr>
      <w:r>
        <w:rPr>
          <w:rFonts w:ascii="Calibri" w:hAnsi="Calibri"/>
          <w:color w:val="333333"/>
          <w:sz w:val="21"/>
        </w:rPr>
        <w:t>Medical billing content must accurately reflect that medical insurance is billed for medical diagnoses — not as a workaround to vision plan limits.</w:t>
      </w:r>
    </w:p>
    <w:p>
      <w:pPr>
        <w:pStyle w:val="ListBullet"/>
        <w:spacing w:before="20" w:after="60"/>
      </w:pPr>
      <w:r>
        <w:rPr>
          <w:rFonts w:ascii="Calibri" w:hAnsi="Calibri"/>
          <w:color w:val="333333"/>
          <w:sz w:val="21"/>
        </w:rPr>
        <w:t>All promotional materials must include practice identification and comply with state optometry board advertising regulations.</w:t>
      </w:r>
    </w:p>
    <w:p>
      <w:pPr>
        <w:pStyle w:val="ListBullet"/>
        <w:spacing w:before="20" w:after="60"/>
      </w:pPr>
      <w:r>
        <w:rPr>
          <w:rFonts w:ascii="Calibri" w:hAnsi="Calibri"/>
          <w:color w:val="333333"/>
          <w:sz w:val="21"/>
        </w:rPr>
        <w:t>Email marketing must include opt-out mechanism and practice identification per CAN-SPAM.</w:t>
      </w:r>
    </w:p>
    <w:p>
      <w:pPr>
        <w:pStyle w:val="ListBullet"/>
        <w:spacing w:before="20" w:after="60"/>
      </w:pPr>
      <w:r>
        <w:rPr>
          <w:rFonts w:ascii="Calibri" w:hAnsi="Calibri"/>
          <w:color w:val="333333"/>
          <w:sz w:val="21"/>
        </w:rPr>
        <w:t>Content comparing independent ODs favorably to corporate chains must be factual, not disparaging. Focus on what the independent practice offers.</w:t>
      </w:r>
    </w:p>
    <w:p>
      <w:pPr>
        <w:spacing w:before="160" w:after="160"/>
        <w:pBdr>
          <w:bottom w:val="single" w:sz="4" w:space="1" w:color="25aae1"/>
        </w:pBdr>
      </w:pPr>
      <w:r/>
    </w:p>
    <w:p>
      <w:pPr>
        <w:spacing w:before="240"/>
        <w:jc w:val="center"/>
      </w:pPr>
      <w:r>
        <w:rPr>
          <w:rFonts w:ascii="Calibri" w:hAnsi="Calibri"/>
          <w:i/>
          <w:color w:val="888888"/>
          <w:sz w:val="18"/>
        </w:rPr>
        <w:t>Authority Systems Group™  —  Niche Intelligence Library</w:t>
        <w:br/>
        <w:t>Prepared by Vivienne Carr, CMO + Daniel Frost, CSO</w:t>
        <w:br/>
        <w:t>Under the direction of Roger Bauer, Director  —  March 2026</w:t>
      </w:r>
    </w:p>
    <w:sectPr w:rsidR="00FC693F" w:rsidRPr="0006063C" w:rsidSect="00034616">
      <w:headerReference w:type="default" r:id="rId11"/>
      <w:footerReference w:type="default" r:id="rId12"/>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888888"/>
        <w:sz w:val="16"/>
      </w:rPr>
      <w:t>Authority Systems Group™  —  Niche Intelligence Library  —  Internal Use Only</w:t>
    </w:r>
    <w:r>
      <w:t xml:space="preserve">   |   Page </w:t>
      <w:fldChar w:fldCharType="begin"/>
    </w:r>
    <w:r>
      <w:instrText> PAGE </w:instrText>
    </w:r>
    <w: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Bdr>
        <w:bottom w:val="single" w:sz="2" w:space="1" w:color="CCCCCC"/>
      </w:pBdr>
    </w:pPr>
    <w:r>
      <w:rPr>
        <w:rFonts w:ascii="Calibri" w:hAnsi="Calibri"/>
        <w:color w:val="888888"/>
        <w:sz w:val="16"/>
      </w:rPr>
      <w:t>Authority Systems Group™  —  Niche Intelligence Library  —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val="right" w:pos="8280"/>
      </w:tabs>
      <w:pBdr>
        <w:bottom w:val="single" w:sz="6" w:space="1" w:color="25aae1"/>
      </w:pBdr>
    </w:pPr>
    <w:r>
      <w:drawing>
        <wp:inline xmlns:a="http://schemas.openxmlformats.org/drawingml/2006/main" xmlns:pic="http://schemas.openxmlformats.org/drawingml/2006/picture">
          <wp:extent cx="1280160" cy="615564"/>
          <wp:docPr id="1" name="Picture 1"/>
          <wp:cNvGraphicFramePr>
            <a:graphicFrameLocks noChangeAspect="1"/>
          </wp:cNvGraphicFramePr>
          <a:graphic>
            <a:graphicData uri="http://schemas.openxmlformats.org/drawingml/2006/picture">
              <pic:pic>
                <pic:nvPicPr>
                  <pic:cNvPr id="0" name="asgFull.png"/>
                  <pic:cNvPicPr/>
                </pic:nvPicPr>
                <pic:blipFill>
                  <a:blip r:embed="rId1"/>
                  <a:stretch>
                    <a:fillRect/>
                  </a:stretch>
                </pic:blipFill>
                <pic:spPr>
                  <a:xfrm>
                    <a:off x="0" y="0"/>
                    <a:ext cx="1280160" cy="615564"/>
                  </a:xfrm>
                  <a:prstGeom prst="rect"/>
                </pic:spPr>
              </pic:pic>
            </a:graphicData>
          </a:graphic>
        </wp:inline>
      </w:drawing>
    </w:r>
    <w:r>
      <w:rPr>
        <w:rFonts w:ascii="Calibri" w:hAnsi="Calibri"/>
        <w:color w:val="58585A"/>
        <w:sz w:val="18"/>
      </w:rPr>
      <w:tab/>
      <w:t>Audience Persona — Local Optometrist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 Id="rId11" Type="http://schemas.openxmlformats.org/officeDocument/2006/relationships/header" Target="header1.xml"/><Relationship Id="rId12"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